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E66" w:rsidRPr="009D4414" w:rsidRDefault="00332665">
      <w:pPr>
        <w:pageBreakBefore/>
        <w:jc w:val="right"/>
        <w:rPr>
          <w:rFonts w:cs="Calibri"/>
        </w:rPr>
      </w:pPr>
      <w:r>
        <w:rPr>
          <w:rFonts w:cs="Calibri"/>
        </w:rPr>
        <w:t>Goleniów</w:t>
      </w:r>
      <w:r w:rsidR="00EA4610" w:rsidRPr="009D4414">
        <w:rPr>
          <w:rFonts w:cs="Calibri"/>
        </w:rPr>
        <w:t xml:space="preserve">, </w:t>
      </w:r>
      <w:r>
        <w:rPr>
          <w:rFonts w:cs="Calibri"/>
        </w:rPr>
        <w:t>15</w:t>
      </w:r>
      <w:r w:rsidR="008E4E66" w:rsidRPr="009D4414">
        <w:rPr>
          <w:rFonts w:cs="Calibri"/>
        </w:rPr>
        <w:t xml:space="preserve"> </w:t>
      </w:r>
      <w:r>
        <w:rPr>
          <w:rFonts w:cs="Calibri"/>
        </w:rPr>
        <w:t>października</w:t>
      </w:r>
      <w:r w:rsidR="00697BB4" w:rsidRPr="009D4414">
        <w:rPr>
          <w:rFonts w:cs="Calibri"/>
        </w:rPr>
        <w:t xml:space="preserve"> 2018</w:t>
      </w:r>
      <w:r w:rsidR="008E4E66" w:rsidRPr="009D4414">
        <w:rPr>
          <w:rFonts w:cs="Calibri"/>
        </w:rPr>
        <w:t xml:space="preserve"> r.</w:t>
      </w:r>
    </w:p>
    <w:p w:rsidR="008E4E66" w:rsidRPr="009D4414" w:rsidRDefault="00812DA0">
      <w:pPr>
        <w:rPr>
          <w:rFonts w:cs="Calibri"/>
        </w:rPr>
      </w:pPr>
      <w:r>
        <w:rPr>
          <w:rFonts w:cs="Calibri"/>
        </w:rPr>
        <w:t>32</w:t>
      </w:r>
      <w:r w:rsidR="00332665">
        <w:rPr>
          <w:rFonts w:cs="Calibri"/>
        </w:rPr>
        <w:t>7</w:t>
      </w:r>
      <w:r w:rsidR="00697BB4" w:rsidRPr="009D4414">
        <w:rPr>
          <w:rFonts w:cs="Calibri"/>
        </w:rPr>
        <w:t>/SO</w:t>
      </w:r>
      <w:r w:rsidR="00EA4610" w:rsidRPr="009D4414">
        <w:rPr>
          <w:rFonts w:cs="Calibri"/>
        </w:rPr>
        <w:t>/SOWP/2018/</w:t>
      </w:r>
      <w:r w:rsidR="00332665">
        <w:rPr>
          <w:rFonts w:cs="Calibri"/>
        </w:rPr>
        <w:t>BWSO</w:t>
      </w:r>
    </w:p>
    <w:p w:rsidR="004A2FE4" w:rsidRPr="009D4414" w:rsidRDefault="004A2FE4" w:rsidP="000518E7">
      <w:pPr>
        <w:pStyle w:val="Bezodstpw"/>
        <w:ind w:left="4536"/>
        <w:rPr>
          <w:rFonts w:cs="Calibri"/>
          <w:b/>
        </w:rPr>
      </w:pPr>
      <w:r w:rsidRPr="009D4414">
        <w:rPr>
          <w:rFonts w:cs="Calibri"/>
          <w:b/>
        </w:rPr>
        <w:t>Wojewódzki Sąd Administracyjny</w:t>
      </w:r>
    </w:p>
    <w:p w:rsidR="007B44FD" w:rsidRPr="009D4414" w:rsidRDefault="004A2FE4" w:rsidP="000518E7">
      <w:pPr>
        <w:pStyle w:val="Bezodstpw"/>
        <w:ind w:left="4536"/>
        <w:rPr>
          <w:rFonts w:cs="Calibri"/>
          <w:u w:val="single"/>
        </w:rPr>
      </w:pPr>
      <w:r w:rsidRPr="009D4414">
        <w:rPr>
          <w:rFonts w:cs="Calibri"/>
          <w:b/>
        </w:rPr>
        <w:t xml:space="preserve">w </w:t>
      </w:r>
      <w:r w:rsidR="00332665">
        <w:rPr>
          <w:rFonts w:cs="Calibri"/>
          <w:b/>
        </w:rPr>
        <w:t>Warszawie</w:t>
      </w:r>
      <w:r w:rsidR="008E4E66" w:rsidRPr="009D4414">
        <w:rPr>
          <w:rFonts w:cs="Calibri"/>
          <w:b/>
        </w:rPr>
        <w:br/>
      </w:r>
      <w:bookmarkStart w:id="0" w:name="_GoBack"/>
      <w:bookmarkEnd w:id="0"/>
    </w:p>
    <w:p w:rsidR="008E4E66" w:rsidRPr="009D4414" w:rsidRDefault="008E4E66">
      <w:pPr>
        <w:ind w:left="4535"/>
        <w:rPr>
          <w:rFonts w:cs="Calibri"/>
        </w:rPr>
      </w:pPr>
      <w:r w:rsidRPr="009D4414">
        <w:rPr>
          <w:rFonts w:cs="Calibri"/>
          <w:i/>
          <w:u w:val="single"/>
        </w:rPr>
        <w:t>za pośrednictwem:</w:t>
      </w:r>
    </w:p>
    <w:p w:rsidR="00853D6F" w:rsidRPr="009D4414" w:rsidRDefault="00332665" w:rsidP="00133D74">
      <w:pPr>
        <w:pStyle w:val="Bezodstpw"/>
        <w:ind w:left="4536"/>
        <w:rPr>
          <w:rFonts w:cs="Calibri"/>
        </w:rPr>
      </w:pPr>
      <w:r>
        <w:rPr>
          <w:rFonts w:cs="Calibri"/>
          <w:b/>
        </w:rPr>
        <w:t>Telewizji Polskiej S.A.</w:t>
      </w:r>
      <w:r w:rsidR="00CB6CEC" w:rsidRPr="009D4414">
        <w:rPr>
          <w:rFonts w:cs="Calibri"/>
        </w:rPr>
        <w:br/>
      </w:r>
    </w:p>
    <w:p w:rsidR="00615418" w:rsidRPr="009D4414" w:rsidRDefault="00615418" w:rsidP="00615418">
      <w:pPr>
        <w:pStyle w:val="Bezodstpw"/>
        <w:ind w:left="4536"/>
        <w:rPr>
          <w:rFonts w:cs="Calibri"/>
        </w:rPr>
      </w:pPr>
    </w:p>
    <w:p w:rsidR="00853D6F" w:rsidRPr="009D4414" w:rsidRDefault="00853D6F" w:rsidP="00853D6F">
      <w:pPr>
        <w:pStyle w:val="Bezodstpw"/>
        <w:ind w:left="4536"/>
        <w:rPr>
          <w:rFonts w:cs="Calibri"/>
          <w:u w:val="single"/>
        </w:rPr>
      </w:pPr>
      <w:r w:rsidRPr="009D4414">
        <w:rPr>
          <w:rFonts w:cs="Calibri"/>
          <w:u w:val="single"/>
        </w:rPr>
        <w:t>Wnioskujące:</w:t>
      </w:r>
    </w:p>
    <w:p w:rsidR="00853D6F" w:rsidRPr="009D4414" w:rsidRDefault="00853D6F" w:rsidP="00853D6F">
      <w:pPr>
        <w:pStyle w:val="Bezodstpw"/>
        <w:ind w:left="4536"/>
        <w:rPr>
          <w:rFonts w:cs="Calibri"/>
          <w:b/>
        </w:rPr>
      </w:pPr>
      <w:r w:rsidRPr="009D4414">
        <w:rPr>
          <w:rFonts w:cs="Calibri"/>
          <w:b/>
        </w:rPr>
        <w:t>Stowarzyszenie Sieć Obywatelska Watchdog Polska</w:t>
      </w:r>
    </w:p>
    <w:p w:rsidR="00853D6F" w:rsidRPr="009D4414" w:rsidRDefault="00853D6F" w:rsidP="00853D6F">
      <w:pPr>
        <w:pStyle w:val="Bezodstpw"/>
        <w:ind w:left="4536"/>
        <w:rPr>
          <w:rFonts w:cs="Calibri"/>
        </w:rPr>
      </w:pPr>
      <w:r w:rsidRPr="009D4414">
        <w:rPr>
          <w:rFonts w:cs="Calibri"/>
        </w:rPr>
        <w:t>ul. Ursynowska 22/2</w:t>
      </w:r>
    </w:p>
    <w:p w:rsidR="00853D6F" w:rsidRPr="009D4414" w:rsidRDefault="00853D6F" w:rsidP="00853D6F">
      <w:pPr>
        <w:pStyle w:val="Bezodstpw"/>
        <w:ind w:left="4536"/>
        <w:rPr>
          <w:rFonts w:cs="Calibri"/>
        </w:rPr>
      </w:pPr>
      <w:r w:rsidRPr="009D4414">
        <w:rPr>
          <w:rFonts w:cs="Calibri"/>
        </w:rPr>
        <w:t>02-605 Warszawa</w:t>
      </w:r>
    </w:p>
    <w:p w:rsidR="00853D6F" w:rsidRPr="009D4414" w:rsidRDefault="00853D6F" w:rsidP="00853D6F">
      <w:pPr>
        <w:pStyle w:val="Bezodstpw"/>
        <w:ind w:left="4536"/>
        <w:rPr>
          <w:rFonts w:cs="Calibri"/>
        </w:rPr>
      </w:pPr>
    </w:p>
    <w:p w:rsidR="00853D6F" w:rsidRPr="009D4414" w:rsidRDefault="00AD24EF" w:rsidP="00853D6F">
      <w:pPr>
        <w:pStyle w:val="Bezodstpw"/>
        <w:ind w:left="4536"/>
        <w:rPr>
          <w:rFonts w:cs="Calibri"/>
          <w:u w:val="single"/>
        </w:rPr>
      </w:pPr>
      <w:r>
        <w:rPr>
          <w:rFonts w:cs="Calibri"/>
          <w:u w:val="single"/>
        </w:rPr>
        <w:t>Podmiot zobowiązany</w:t>
      </w:r>
      <w:r w:rsidR="00853D6F" w:rsidRPr="009D4414">
        <w:rPr>
          <w:rFonts w:cs="Calibri"/>
          <w:u w:val="single"/>
        </w:rPr>
        <w:t>:</w:t>
      </w:r>
    </w:p>
    <w:p w:rsidR="008E4E66" w:rsidRDefault="00332665" w:rsidP="00615418">
      <w:pPr>
        <w:pStyle w:val="Bezodstpw"/>
        <w:ind w:left="4536"/>
        <w:rPr>
          <w:rFonts w:cs="Calibri"/>
          <w:b/>
        </w:rPr>
      </w:pPr>
      <w:r>
        <w:rPr>
          <w:rFonts w:cs="Calibri"/>
          <w:b/>
        </w:rPr>
        <w:t>Telewizja Polska S.A.</w:t>
      </w:r>
    </w:p>
    <w:p w:rsidR="00332665" w:rsidRPr="00332665" w:rsidRDefault="00332665" w:rsidP="00332665">
      <w:pPr>
        <w:pStyle w:val="Bezodstpw"/>
        <w:ind w:left="4536"/>
      </w:pPr>
      <w:r w:rsidRPr="00332665">
        <w:t>ul. J.P. Woronicza 17</w:t>
      </w:r>
    </w:p>
    <w:p w:rsidR="00615418" w:rsidRPr="009D4414" w:rsidRDefault="00332665" w:rsidP="00332665">
      <w:pPr>
        <w:pStyle w:val="Bezodstpw"/>
        <w:ind w:left="4536"/>
        <w:rPr>
          <w:b/>
        </w:rPr>
      </w:pPr>
      <w:r w:rsidRPr="00332665">
        <w:t>00-999 Warszawa</w:t>
      </w:r>
    </w:p>
    <w:p w:rsidR="00332665" w:rsidRDefault="00332665">
      <w:pPr>
        <w:jc w:val="center"/>
        <w:rPr>
          <w:rFonts w:cs="Calibri"/>
          <w:b/>
        </w:rPr>
      </w:pPr>
    </w:p>
    <w:p w:rsidR="004A2FE4" w:rsidRPr="009D4414" w:rsidRDefault="004A2FE4">
      <w:pPr>
        <w:jc w:val="center"/>
        <w:rPr>
          <w:rFonts w:cs="Calibri"/>
          <w:b/>
        </w:rPr>
      </w:pPr>
      <w:r w:rsidRPr="009D4414">
        <w:rPr>
          <w:rFonts w:cs="Calibri"/>
          <w:b/>
        </w:rPr>
        <w:t xml:space="preserve">Skarga na decyzję </w:t>
      </w:r>
      <w:r w:rsidR="00133D74" w:rsidRPr="009D4414">
        <w:rPr>
          <w:rFonts w:cs="Calibri"/>
          <w:b/>
        </w:rPr>
        <w:t xml:space="preserve"> </w:t>
      </w:r>
      <w:r w:rsidR="00332665" w:rsidRPr="00332665">
        <w:rPr>
          <w:rFonts w:cs="Calibri"/>
          <w:b/>
        </w:rPr>
        <w:t>z 10 września 2018 r., znak TVP/BSK/027-45/2018</w:t>
      </w:r>
    </w:p>
    <w:p w:rsidR="008E4E66" w:rsidRPr="009D4414" w:rsidRDefault="004A2FE4">
      <w:pPr>
        <w:jc w:val="center"/>
        <w:rPr>
          <w:rFonts w:cs="Calibri"/>
          <w:b/>
        </w:rPr>
      </w:pPr>
      <w:r w:rsidRPr="009D4414">
        <w:rPr>
          <w:rFonts w:cs="Calibri"/>
          <w:b/>
        </w:rPr>
        <w:t>w</w:t>
      </w:r>
      <w:r w:rsidR="00853D6F" w:rsidRPr="009D4414">
        <w:rPr>
          <w:rFonts w:cs="Calibri"/>
          <w:b/>
        </w:rPr>
        <w:t xml:space="preserve"> przedmiocie odmowy udostępnienia informacji publicznej</w:t>
      </w:r>
    </w:p>
    <w:p w:rsidR="008E4E66" w:rsidRPr="009D4414" w:rsidRDefault="008E4E66" w:rsidP="0012646A">
      <w:pPr>
        <w:numPr>
          <w:ilvl w:val="0"/>
          <w:numId w:val="7"/>
        </w:numPr>
        <w:ind w:left="709" w:hanging="709"/>
        <w:jc w:val="both"/>
        <w:rPr>
          <w:rFonts w:cs="Calibri"/>
        </w:rPr>
      </w:pPr>
      <w:r w:rsidRPr="009D4414">
        <w:rPr>
          <w:rFonts w:cs="Calibri"/>
        </w:rPr>
        <w:t>Stowarzyszenie</w:t>
      </w:r>
      <w:r w:rsidR="00853D6F" w:rsidRPr="009D4414">
        <w:rPr>
          <w:rFonts w:cs="Calibri"/>
        </w:rPr>
        <w:t xml:space="preserve"> Sieć Obywatelska Watchdog Polska (dalej: „Stowarzyszenie”) </w:t>
      </w:r>
      <w:r w:rsidR="00615418" w:rsidRPr="009D4414">
        <w:rPr>
          <w:rFonts w:cs="Calibri"/>
        </w:rPr>
        <w:t xml:space="preserve">składa </w:t>
      </w:r>
      <w:r w:rsidR="004A2FE4" w:rsidRPr="009D4414">
        <w:rPr>
          <w:rFonts w:cs="Calibri"/>
        </w:rPr>
        <w:t>skargę</w:t>
      </w:r>
      <w:r w:rsidR="00615418" w:rsidRPr="009D4414">
        <w:rPr>
          <w:rFonts w:cs="Calibri"/>
        </w:rPr>
        <w:t xml:space="preserve"> </w:t>
      </w:r>
      <w:r w:rsidR="004A2FE4" w:rsidRPr="009D4414">
        <w:rPr>
          <w:rFonts w:cs="Calibri"/>
        </w:rPr>
        <w:t>na decyzję z</w:t>
      </w:r>
      <w:r w:rsidR="00615418" w:rsidRPr="009D4414">
        <w:rPr>
          <w:rFonts w:cs="Calibri"/>
        </w:rPr>
        <w:t xml:space="preserve"> </w:t>
      </w:r>
      <w:r w:rsidR="00360114" w:rsidRPr="009D4414">
        <w:rPr>
          <w:rFonts w:cs="Calibri"/>
        </w:rPr>
        <w:t>18</w:t>
      </w:r>
      <w:r w:rsidR="00853D6F" w:rsidRPr="009D4414">
        <w:rPr>
          <w:rFonts w:cs="Calibri"/>
        </w:rPr>
        <w:t xml:space="preserve"> </w:t>
      </w:r>
      <w:r w:rsidR="004A2FE4" w:rsidRPr="009D4414">
        <w:rPr>
          <w:rFonts w:cs="Calibri"/>
        </w:rPr>
        <w:t>kwietnia</w:t>
      </w:r>
      <w:r w:rsidR="00615418" w:rsidRPr="009D4414">
        <w:rPr>
          <w:rFonts w:cs="Calibri"/>
        </w:rPr>
        <w:t xml:space="preserve"> 2018</w:t>
      </w:r>
      <w:r w:rsidR="00853D6F" w:rsidRPr="009D4414">
        <w:rPr>
          <w:rFonts w:cs="Calibri"/>
        </w:rPr>
        <w:t xml:space="preserve"> r.</w:t>
      </w:r>
      <w:r w:rsidR="0012646A" w:rsidRPr="009D4414">
        <w:rPr>
          <w:rFonts w:cs="Calibri"/>
        </w:rPr>
        <w:t>, w przedmiocie odmowy udostępnienia informacji publicznej i wnosi o:</w:t>
      </w:r>
    </w:p>
    <w:p w:rsidR="004A2FE4" w:rsidRPr="009D4414" w:rsidRDefault="004A2FE4" w:rsidP="0012646A">
      <w:pPr>
        <w:numPr>
          <w:ilvl w:val="0"/>
          <w:numId w:val="8"/>
        </w:numPr>
        <w:ind w:left="1418" w:hanging="720"/>
        <w:jc w:val="both"/>
        <w:rPr>
          <w:rFonts w:cs="Calibri"/>
        </w:rPr>
      </w:pPr>
      <w:r w:rsidRPr="009D4414">
        <w:rPr>
          <w:rFonts w:cs="Calibri"/>
        </w:rPr>
        <w:t>u</w:t>
      </w:r>
      <w:r w:rsidR="00615418" w:rsidRPr="009D4414">
        <w:rPr>
          <w:rFonts w:cs="Calibri"/>
        </w:rPr>
        <w:t>chylenie</w:t>
      </w:r>
      <w:r w:rsidRPr="009D4414">
        <w:rPr>
          <w:rFonts w:cs="Calibri"/>
        </w:rPr>
        <w:t xml:space="preserve"> skarżonej</w:t>
      </w:r>
      <w:r w:rsidR="00615418" w:rsidRPr="009D4414">
        <w:rPr>
          <w:rFonts w:cs="Calibri"/>
        </w:rPr>
        <w:t xml:space="preserve"> decyzji </w:t>
      </w:r>
      <w:r w:rsidR="0012646A" w:rsidRPr="009D4414">
        <w:rPr>
          <w:rFonts w:cs="Calibri"/>
        </w:rPr>
        <w:t>i przekazanie sprawy do ponownego rozpatrzenia sprawy</w:t>
      </w:r>
      <w:r w:rsidRPr="009D4414">
        <w:rPr>
          <w:rFonts w:cs="Calibri"/>
        </w:rPr>
        <w:t>,</w:t>
      </w:r>
    </w:p>
    <w:p w:rsidR="0012646A" w:rsidRPr="009D4414" w:rsidRDefault="004A2FE4" w:rsidP="0012646A">
      <w:pPr>
        <w:numPr>
          <w:ilvl w:val="0"/>
          <w:numId w:val="8"/>
        </w:numPr>
        <w:ind w:left="1418" w:hanging="720"/>
        <w:jc w:val="both"/>
        <w:rPr>
          <w:rFonts w:cs="Calibri"/>
        </w:rPr>
      </w:pPr>
      <w:r w:rsidRPr="009D4414">
        <w:rPr>
          <w:rFonts w:cs="Calibri"/>
        </w:rPr>
        <w:t>zasądzenie kosztów postępowania według norm przepisanych.</w:t>
      </w:r>
      <w:r w:rsidR="0012646A" w:rsidRPr="009D4414">
        <w:rPr>
          <w:rFonts w:cs="Calibri"/>
        </w:rPr>
        <w:t xml:space="preserve"> </w:t>
      </w:r>
    </w:p>
    <w:p w:rsidR="008E4E66" w:rsidRPr="009D4414" w:rsidRDefault="008E4E66" w:rsidP="0012646A">
      <w:pPr>
        <w:numPr>
          <w:ilvl w:val="0"/>
          <w:numId w:val="7"/>
        </w:numPr>
        <w:ind w:hanging="720"/>
        <w:jc w:val="both"/>
        <w:rPr>
          <w:rFonts w:cs="Calibri"/>
        </w:rPr>
      </w:pPr>
      <w:r w:rsidRPr="009D4414">
        <w:rPr>
          <w:rFonts w:cs="Calibri"/>
        </w:rPr>
        <w:t>Wydanej decyzji Stowarzyszenie zarzuca naruszenie:</w:t>
      </w:r>
    </w:p>
    <w:p w:rsidR="008E4E66" w:rsidRPr="009D4414" w:rsidRDefault="008E4E66" w:rsidP="00540BA9">
      <w:pPr>
        <w:numPr>
          <w:ilvl w:val="0"/>
          <w:numId w:val="1"/>
        </w:numPr>
        <w:ind w:left="1418" w:hanging="709"/>
        <w:jc w:val="both"/>
        <w:rPr>
          <w:rFonts w:cs="Calibri"/>
        </w:rPr>
      </w:pPr>
      <w:r w:rsidRPr="009D4414">
        <w:rPr>
          <w:rFonts w:cs="Calibri"/>
        </w:rPr>
        <w:t>art. 61 ust. 1 Konstytucji RP, w zakresie w jakim przepis ten stanowi normatywną podstawę konstytucyjnego prawa do informacji publicznej, poprzez nieuprawnione – bowiem zbyt daleko idące – ograniczenie prawa do informacji publicznej,</w:t>
      </w:r>
    </w:p>
    <w:p w:rsidR="00133D74" w:rsidRPr="009D4414" w:rsidRDefault="00133D74" w:rsidP="00540BA9">
      <w:pPr>
        <w:numPr>
          <w:ilvl w:val="0"/>
          <w:numId w:val="1"/>
        </w:numPr>
        <w:ind w:left="1418" w:hanging="709"/>
        <w:jc w:val="both"/>
        <w:rPr>
          <w:rFonts w:cs="Calibri"/>
        </w:rPr>
      </w:pPr>
      <w:r w:rsidRPr="009D4414">
        <w:rPr>
          <w:rFonts w:cs="Calibri"/>
        </w:rPr>
        <w:t xml:space="preserve">art. 61 ust. 3 w zw. z art. 31 ust. 3 Konstytucji RP poprzez zbyt daleko idące ograniczenie prawa do informacji naruszające istotę tego uprawnienia, </w:t>
      </w:r>
    </w:p>
    <w:p w:rsidR="008E4E66" w:rsidRPr="009D4414" w:rsidRDefault="008E4E66" w:rsidP="00540BA9">
      <w:pPr>
        <w:numPr>
          <w:ilvl w:val="0"/>
          <w:numId w:val="1"/>
        </w:numPr>
        <w:ind w:left="1418" w:hanging="709"/>
        <w:jc w:val="both"/>
        <w:rPr>
          <w:rFonts w:cs="Calibri"/>
        </w:rPr>
      </w:pPr>
      <w:r w:rsidRPr="009D4414">
        <w:rPr>
          <w:rFonts w:cs="Calibri"/>
        </w:rPr>
        <w:t>art. 5 ust. 2 ustawy z dnia 6 września 2001 o dostępie do informacji publicznej (Dz. U. 2016 poz. 1764 ze zm.; dalej jako: UDIP) w zakresie jakim ten przepis stanowi podstawę ograniczenia prawa do informacji publicznej poprzez nieuzasadnione zastosowanie</w:t>
      </w:r>
      <w:r w:rsidR="00332665">
        <w:rPr>
          <w:rFonts w:cs="Calibri"/>
        </w:rPr>
        <w:t xml:space="preserve"> w niniejszej sprawie,</w:t>
      </w:r>
    </w:p>
    <w:p w:rsidR="00133D74" w:rsidRPr="009D4414" w:rsidRDefault="008E4E66" w:rsidP="00332665">
      <w:pPr>
        <w:numPr>
          <w:ilvl w:val="0"/>
          <w:numId w:val="1"/>
        </w:numPr>
        <w:ind w:left="1418" w:hanging="709"/>
        <w:jc w:val="both"/>
        <w:rPr>
          <w:rFonts w:cs="Calibri"/>
        </w:rPr>
      </w:pPr>
      <w:r w:rsidRPr="009D4414">
        <w:rPr>
          <w:rFonts w:cs="Calibri"/>
        </w:rPr>
        <w:lastRenderedPageBreak/>
        <w:t>art. 11 ust. 4 ustawy z dnia 16 kwietnia 1993 roku o nieuczciwej konkurencji (Dz. U. 2017, poz. 1132; dalej jako: ustawa o nieuczciwej konkurencji) poprzez nieprawidłowe zakwalifikowanie informacji będącej przedmiotem wniosku jako tajemnicy przedsiębiorstwa bez spełnienia ustawowych przesłanek uznania info</w:t>
      </w:r>
      <w:r w:rsidR="008942F8" w:rsidRPr="009D4414">
        <w:rPr>
          <w:rFonts w:cs="Calibri"/>
        </w:rPr>
        <w:t>rmacji za takową</w:t>
      </w:r>
      <w:r w:rsidR="00332665">
        <w:rPr>
          <w:rFonts w:cs="Calibri"/>
        </w:rPr>
        <w:t>.</w:t>
      </w:r>
    </w:p>
    <w:p w:rsidR="00360114" w:rsidRPr="009D4414" w:rsidRDefault="00360114" w:rsidP="00133D74">
      <w:pPr>
        <w:ind w:left="1418"/>
        <w:jc w:val="both"/>
        <w:rPr>
          <w:rFonts w:cs="Calibri"/>
        </w:rPr>
      </w:pPr>
    </w:p>
    <w:p w:rsidR="004C4888" w:rsidRPr="009D4414" w:rsidRDefault="004C4888" w:rsidP="004C4888">
      <w:pPr>
        <w:pStyle w:val="Bezodstpw"/>
        <w:rPr>
          <w:rFonts w:cs="Calibri"/>
        </w:rPr>
      </w:pPr>
    </w:p>
    <w:p w:rsidR="008E4E66" w:rsidRPr="009D4414" w:rsidRDefault="008E4E66">
      <w:pPr>
        <w:jc w:val="center"/>
        <w:rPr>
          <w:rStyle w:val="Domylnaczcionkaakapitu1"/>
          <w:rFonts w:cs="Calibri"/>
          <w:b/>
        </w:rPr>
      </w:pPr>
      <w:r w:rsidRPr="009D4414">
        <w:rPr>
          <w:rFonts w:cs="Calibri"/>
          <w:b/>
        </w:rPr>
        <w:t>UZASADNIENIE</w:t>
      </w:r>
    </w:p>
    <w:p w:rsidR="004A2FE4" w:rsidRPr="009D4414" w:rsidRDefault="00D3569D" w:rsidP="00BD199B">
      <w:pPr>
        <w:pStyle w:val="Standard"/>
        <w:numPr>
          <w:ilvl w:val="0"/>
          <w:numId w:val="9"/>
        </w:numPr>
        <w:jc w:val="both"/>
        <w:rPr>
          <w:rFonts w:cs="Calibri"/>
        </w:rPr>
      </w:pPr>
      <w:r w:rsidRPr="009D4414">
        <w:rPr>
          <w:rFonts w:cs="Calibri"/>
        </w:rPr>
        <w:t>Kwestionowana decyzja w zakresie uzasadnienia wyłączenia jawności określonych w niej informacji jest ogólna</w:t>
      </w:r>
      <w:r w:rsidR="00332665">
        <w:rPr>
          <w:rFonts w:cs="Calibri"/>
        </w:rPr>
        <w:t>.</w:t>
      </w:r>
      <w:r w:rsidRPr="009D4414">
        <w:rPr>
          <w:rFonts w:cs="Calibri"/>
        </w:rPr>
        <w:t xml:space="preserve"> </w:t>
      </w:r>
      <w:r w:rsidR="00332665">
        <w:rPr>
          <w:rFonts w:cs="Calibri"/>
        </w:rPr>
        <w:t>Podmiot zobowiązany</w:t>
      </w:r>
      <w:r w:rsidR="00133D74" w:rsidRPr="009D4414">
        <w:rPr>
          <w:rFonts w:cs="Calibri"/>
        </w:rPr>
        <w:t xml:space="preserve"> nie dokonał zważenia prawa do informacji i zastosowanego ograniczenia. </w:t>
      </w:r>
    </w:p>
    <w:p w:rsidR="00133D74" w:rsidRPr="009D4414" w:rsidRDefault="00332665" w:rsidP="00BD199B">
      <w:pPr>
        <w:pStyle w:val="Standard"/>
        <w:numPr>
          <w:ilvl w:val="0"/>
          <w:numId w:val="9"/>
        </w:numPr>
        <w:jc w:val="both"/>
        <w:rPr>
          <w:rFonts w:cs="Calibri"/>
        </w:rPr>
      </w:pPr>
      <w:r>
        <w:rPr>
          <w:rFonts w:cs="Calibri"/>
        </w:rPr>
        <w:t>Podmiot zobowiązany</w:t>
      </w:r>
      <w:r w:rsidR="00133D74" w:rsidRPr="009D4414">
        <w:rPr>
          <w:rFonts w:cs="Calibri"/>
        </w:rPr>
        <w:t xml:space="preserve"> </w:t>
      </w:r>
      <w:r w:rsidR="008B25F7" w:rsidRPr="009D4414">
        <w:rPr>
          <w:rFonts w:cs="Calibri"/>
        </w:rPr>
        <w:t>uzasadniając decyzję odwołał się wyłącznie do zastosowanego ograniczenia. Przypomnieć należy, iż tajemnica przedsiębiorcy, a szczególnie spółki publicznej, nie ma charakteru bezwzględnego. Czytając uzasadnienie kwestionowanej decyzji można nabrać przekonania, iż samo powołanie przez spółkę publiczną, tajemnicy jest wystarczające</w:t>
      </w:r>
      <w:r>
        <w:rPr>
          <w:rFonts w:cs="Calibri"/>
        </w:rPr>
        <w:t>.</w:t>
      </w:r>
      <w:r w:rsidR="008B25F7" w:rsidRPr="009D4414">
        <w:rPr>
          <w:rFonts w:cs="Calibri"/>
        </w:rPr>
        <w:t xml:space="preserve"> </w:t>
      </w:r>
    </w:p>
    <w:p w:rsidR="008B25F7" w:rsidRPr="009D4414" w:rsidRDefault="008B25F7" w:rsidP="00BD199B">
      <w:pPr>
        <w:pStyle w:val="Standard"/>
        <w:numPr>
          <w:ilvl w:val="0"/>
          <w:numId w:val="9"/>
        </w:numPr>
        <w:jc w:val="both"/>
        <w:rPr>
          <w:rFonts w:cs="Calibri"/>
        </w:rPr>
      </w:pPr>
      <w:r w:rsidRPr="009D4414">
        <w:rPr>
          <w:rFonts w:cs="Calibri"/>
        </w:rPr>
        <w:t xml:space="preserve">Dodatkowo należy podkreślić, iż </w:t>
      </w:r>
      <w:r w:rsidR="00332665">
        <w:rPr>
          <w:rFonts w:cs="Calibri"/>
        </w:rPr>
        <w:t>podmiot zobowiązany</w:t>
      </w:r>
      <w:r w:rsidRPr="009D4414">
        <w:rPr>
          <w:rFonts w:cs="Calibri"/>
        </w:rPr>
        <w:t xml:space="preserve"> sam winien rozważyć wątek interesu publicznego związanego z</w:t>
      </w:r>
      <w:r w:rsidR="00332665">
        <w:rPr>
          <w:rFonts w:cs="Calibri"/>
        </w:rPr>
        <w:t xml:space="preserve"> jego</w:t>
      </w:r>
      <w:r w:rsidRPr="009D4414">
        <w:rPr>
          <w:rFonts w:cs="Calibri"/>
        </w:rPr>
        <w:t xml:space="preserve"> działaniem w kontekście festiwalu w Opolu. Skoro spółka utrzymywana jest z podatków to wiedza o jej działaniach należy się społeczeństwu. </w:t>
      </w:r>
    </w:p>
    <w:p w:rsidR="008B25F7" w:rsidRPr="009D4414" w:rsidRDefault="008B25F7" w:rsidP="00BD199B">
      <w:pPr>
        <w:pStyle w:val="Standard"/>
        <w:numPr>
          <w:ilvl w:val="0"/>
          <w:numId w:val="9"/>
        </w:numPr>
        <w:jc w:val="both"/>
        <w:rPr>
          <w:rFonts w:cs="Calibri"/>
        </w:rPr>
      </w:pPr>
      <w:r w:rsidRPr="009D4414">
        <w:rPr>
          <w:rFonts w:cs="Calibri"/>
        </w:rPr>
        <w:t>Stowarzyszenie wskazuje, iż w wyroku z 9 stycznia 2018 r., II SA/Op 583/17, WSA w Opolu wskazał m.in.:</w:t>
      </w:r>
    </w:p>
    <w:p w:rsidR="008B25F7" w:rsidRPr="009D4414" w:rsidRDefault="008B25F7" w:rsidP="00BD199B">
      <w:pPr>
        <w:pStyle w:val="Standard"/>
        <w:ind w:left="720" w:hanging="12"/>
        <w:jc w:val="both"/>
        <w:rPr>
          <w:rFonts w:cs="Calibri"/>
          <w:i/>
        </w:rPr>
      </w:pPr>
      <w:r w:rsidRPr="009D4414">
        <w:rPr>
          <w:rFonts w:cs="Calibri"/>
          <w:i/>
        </w:rPr>
        <w:t>Stosownie do powyższego przyjąć należy, że na tajemnicę przedsiębiorstwa składają się takie informacje należące do tego podmiotu, których przekazanie, ujawnienie lub wykorzystanie albo nabycie od osoby nieuprawnionej zagraża lub narusza interes przedsiębiorcy. Zdaniem Sądu, ograniczenie dostępności informacji publicznej ze względu na tajemnicę przedsiębiorcy ma zatem charakter wyjątku od zasady i nie może być wykładane rozszerzająco. Dlatego też, podmiot zobowiązany do jej udostępnienia nie może ograniczyć się do ogólnego stwierdzenia o istnieniu takiej tajemnicy, w tym sformułowanego jedynie na podstawie subiektywnej oceny dokonanej w tym zakresie przez przedsiębiorcę. Jej istnienie musi być niewątpliwe, by mogło uzasadniać odmowę.</w:t>
      </w:r>
    </w:p>
    <w:p w:rsidR="008B25F7" w:rsidRPr="009D4414" w:rsidRDefault="008B25F7" w:rsidP="00BD199B">
      <w:pPr>
        <w:pStyle w:val="Standard"/>
        <w:ind w:left="720" w:hanging="12"/>
        <w:jc w:val="both"/>
        <w:rPr>
          <w:rFonts w:cs="Calibri"/>
          <w:i/>
        </w:rPr>
      </w:pPr>
      <w:r w:rsidRPr="009D4414">
        <w:rPr>
          <w:rFonts w:cs="Calibri"/>
          <w:i/>
        </w:rPr>
        <w:t>(…)</w:t>
      </w:r>
    </w:p>
    <w:p w:rsidR="008B25F7" w:rsidRPr="009D4414" w:rsidRDefault="008B25F7" w:rsidP="00BD199B">
      <w:pPr>
        <w:pStyle w:val="Standard"/>
        <w:ind w:left="720" w:hanging="12"/>
        <w:jc w:val="both"/>
        <w:rPr>
          <w:rFonts w:cs="Calibri"/>
        </w:rPr>
      </w:pPr>
      <w:r w:rsidRPr="009D4414">
        <w:rPr>
          <w:rFonts w:cs="Calibri"/>
          <w:i/>
        </w:rPr>
        <w:t>Z kolei ogólne wywody prawne organu nie zostały odniesione do istoty rzeczy, czyli do treści przedmiotowych umów. Niewątpliwie, rację należy przyznać stronie skarżącej, że organ nie wskazał jakiego rodzaju dane objęte są tajemnicą przedsiębiorcy i nie wykazał, że dotyczą one materii szczególnie istotnej dla interesów gospodarczych kontrahentów oraz to, że ich ujawnienie mogłoby spowodować dla nich ewentualne szkody o charakterze gospodarczym i ekonomicznym.</w:t>
      </w:r>
    </w:p>
    <w:p w:rsidR="00D75289" w:rsidRPr="009D4414" w:rsidRDefault="00D75289" w:rsidP="00BD199B">
      <w:pPr>
        <w:pStyle w:val="Bezodstpw"/>
        <w:numPr>
          <w:ilvl w:val="0"/>
          <w:numId w:val="9"/>
        </w:numPr>
        <w:spacing w:line="276" w:lineRule="auto"/>
        <w:jc w:val="both"/>
        <w:rPr>
          <w:rFonts w:cs="Calibri"/>
        </w:rPr>
      </w:pPr>
      <w:r w:rsidRPr="009D4414">
        <w:rPr>
          <w:rFonts w:cs="Calibri"/>
        </w:rPr>
        <w:t xml:space="preserve">Warto zwrócić uwagę na wyrok Sądu Rejonowego w Zielonej Górze z dnia 7 lipca 2014 r., sygn. I C 2466/12: </w:t>
      </w:r>
    </w:p>
    <w:p w:rsidR="00D75289" w:rsidRPr="009D4414" w:rsidRDefault="00D75289" w:rsidP="00BD199B">
      <w:pPr>
        <w:pStyle w:val="Bezodstpw"/>
        <w:spacing w:line="276" w:lineRule="auto"/>
        <w:ind w:left="720" w:hanging="360"/>
        <w:jc w:val="both"/>
        <w:rPr>
          <w:rFonts w:cs="Calibri"/>
        </w:rPr>
      </w:pPr>
    </w:p>
    <w:p w:rsidR="00D75289" w:rsidRPr="009D4414" w:rsidRDefault="00D75289" w:rsidP="00BD199B">
      <w:pPr>
        <w:pStyle w:val="Bezodstpw"/>
        <w:spacing w:line="276" w:lineRule="auto"/>
        <w:ind w:left="720" w:hanging="12"/>
        <w:jc w:val="both"/>
        <w:rPr>
          <w:rFonts w:cs="Calibri"/>
          <w:i/>
        </w:rPr>
      </w:pPr>
      <w:r w:rsidRPr="009D4414">
        <w:rPr>
          <w:rFonts w:cs="Calibri"/>
          <w:i/>
        </w:rPr>
        <w:t>W tej sytuacji, zdaniem Sądu okręgowego, „nadgorliwość” urzędników w zakresie pozyskania informacji, które dokumenty stanowią tajemnicę przedsiębiorstwa musi budzić co najmniej wątpliwości.</w:t>
      </w:r>
    </w:p>
    <w:p w:rsidR="00D75289" w:rsidRPr="009D4414" w:rsidRDefault="00D75289" w:rsidP="00BD199B">
      <w:pPr>
        <w:pStyle w:val="Bezodstpw"/>
        <w:spacing w:line="276" w:lineRule="auto"/>
        <w:ind w:left="720" w:hanging="360"/>
        <w:jc w:val="both"/>
        <w:rPr>
          <w:rFonts w:cs="Calibri"/>
          <w:i/>
        </w:rPr>
      </w:pPr>
    </w:p>
    <w:p w:rsidR="00D75289" w:rsidRPr="009D4414" w:rsidRDefault="00D75289" w:rsidP="00BD199B">
      <w:pPr>
        <w:pStyle w:val="Bezodstpw"/>
        <w:spacing w:line="276" w:lineRule="auto"/>
        <w:ind w:left="720" w:hanging="12"/>
        <w:jc w:val="both"/>
        <w:rPr>
          <w:rFonts w:cs="Calibri"/>
          <w:i/>
        </w:rPr>
      </w:pPr>
      <w:r w:rsidRPr="009D4414">
        <w:rPr>
          <w:rFonts w:cs="Calibri"/>
          <w:i/>
        </w:rPr>
        <w:t>Wskazał, że powyższe postępowanie urzędników nosi znamiona działania wbrew ustawie w celu ukrycia możliwości dostępu do informacji publicznej i kontroli, w tym sprawdzenia, w jaki sposób wydatkuje się publiczne pieniądze oraz uniemożliwić kontrolę prawidłowości wyboru oferty i sporządzenia rzeczowego odwołania od podpisanych umów we właściwym trybie procesowym.</w:t>
      </w:r>
    </w:p>
    <w:p w:rsidR="00D75289" w:rsidRPr="009D4414" w:rsidRDefault="00D75289" w:rsidP="00BD199B">
      <w:pPr>
        <w:pStyle w:val="Bezodstpw"/>
        <w:spacing w:line="276" w:lineRule="auto"/>
        <w:ind w:left="720" w:hanging="360"/>
        <w:jc w:val="both"/>
        <w:rPr>
          <w:rFonts w:cs="Calibri"/>
          <w:i/>
        </w:rPr>
      </w:pPr>
    </w:p>
    <w:p w:rsidR="00D75289" w:rsidRPr="009D4414" w:rsidRDefault="00D75289" w:rsidP="00BD199B">
      <w:pPr>
        <w:pStyle w:val="Bezodstpw"/>
        <w:spacing w:line="276" w:lineRule="auto"/>
        <w:ind w:left="720" w:hanging="12"/>
        <w:jc w:val="both"/>
        <w:rPr>
          <w:rFonts w:cs="Calibri"/>
          <w:i/>
        </w:rPr>
      </w:pPr>
      <w:r w:rsidRPr="009D4414">
        <w:rPr>
          <w:rFonts w:cs="Calibri"/>
          <w:i/>
        </w:rPr>
        <w:t xml:space="preserve">W ocenie sądu odwoławczego, wydawanie publicznych pieniędzy na rzecz prywatnej firmy, z zasady wymaga zachowania pełnej transparentności, stąd odmowa udostępnienia tych informacji może mieć jedynie charakter wyjątkowy i uzasadniony okolicznościami konkretnej sprawy (np. tajemnica państwowa). </w:t>
      </w:r>
    </w:p>
    <w:p w:rsidR="00D75289" w:rsidRPr="009D4414" w:rsidRDefault="00D75289" w:rsidP="00BD199B">
      <w:pPr>
        <w:pStyle w:val="Bezodstpw"/>
        <w:spacing w:line="276" w:lineRule="auto"/>
        <w:ind w:left="720" w:hanging="360"/>
        <w:jc w:val="both"/>
        <w:rPr>
          <w:rFonts w:cs="Calibri"/>
        </w:rPr>
      </w:pPr>
    </w:p>
    <w:p w:rsidR="004A2FE4" w:rsidRPr="009D4414" w:rsidRDefault="004A2FE4" w:rsidP="00BD199B">
      <w:pPr>
        <w:pStyle w:val="Bezodstpw"/>
        <w:numPr>
          <w:ilvl w:val="0"/>
          <w:numId w:val="9"/>
        </w:numPr>
        <w:spacing w:line="276" w:lineRule="auto"/>
        <w:jc w:val="both"/>
        <w:rPr>
          <w:rFonts w:cs="Calibri"/>
        </w:rPr>
      </w:pPr>
      <w:r w:rsidRPr="009D4414">
        <w:rPr>
          <w:rFonts w:cs="Calibri"/>
        </w:rPr>
        <w:t>Mając na względzie powyższe wnosimy jak w petitum skargi.</w:t>
      </w:r>
    </w:p>
    <w:p w:rsidR="004A2FE4" w:rsidRPr="009D4414" w:rsidRDefault="004A2FE4" w:rsidP="004A2FE4">
      <w:pPr>
        <w:pStyle w:val="Bezodstpw"/>
        <w:spacing w:line="276" w:lineRule="auto"/>
        <w:jc w:val="both"/>
        <w:rPr>
          <w:rFonts w:cs="Calibri"/>
        </w:rPr>
      </w:pPr>
    </w:p>
    <w:p w:rsidR="004A2FE4" w:rsidRPr="009D4414" w:rsidRDefault="004A2FE4" w:rsidP="004A2FE4">
      <w:pPr>
        <w:pStyle w:val="Bezodstpw"/>
        <w:spacing w:line="276" w:lineRule="auto"/>
        <w:jc w:val="both"/>
        <w:rPr>
          <w:rFonts w:cs="Calibri"/>
        </w:rPr>
      </w:pPr>
    </w:p>
    <w:p w:rsidR="004A2FE4" w:rsidRPr="009D4414" w:rsidRDefault="004A2FE4" w:rsidP="004A2FE4">
      <w:pPr>
        <w:pStyle w:val="Bezodstpw"/>
        <w:spacing w:line="276" w:lineRule="auto"/>
        <w:jc w:val="both"/>
        <w:rPr>
          <w:rFonts w:cs="Calibri"/>
        </w:rPr>
      </w:pPr>
    </w:p>
    <w:p w:rsidR="004A2FE4" w:rsidRPr="009D4414" w:rsidRDefault="004A2FE4" w:rsidP="004A2FE4">
      <w:pPr>
        <w:pStyle w:val="Bezodstpw"/>
        <w:spacing w:line="276" w:lineRule="auto"/>
        <w:jc w:val="both"/>
        <w:rPr>
          <w:rFonts w:cs="Calibri"/>
        </w:rPr>
      </w:pPr>
    </w:p>
    <w:p w:rsidR="004A2FE4" w:rsidRPr="009D4414" w:rsidRDefault="004A2FE4" w:rsidP="004A2FE4">
      <w:pPr>
        <w:pStyle w:val="Bezodstpw"/>
        <w:spacing w:line="276" w:lineRule="auto"/>
        <w:jc w:val="both"/>
        <w:rPr>
          <w:rFonts w:cs="Calibri"/>
        </w:rPr>
      </w:pPr>
      <w:r w:rsidRPr="009D4414">
        <w:rPr>
          <w:rFonts w:cs="Calibri"/>
        </w:rPr>
        <w:t>W załączeniu:</w:t>
      </w:r>
    </w:p>
    <w:p w:rsidR="004A2FE4" w:rsidRPr="009D4414" w:rsidRDefault="004A2FE4" w:rsidP="004A2FE4">
      <w:pPr>
        <w:pStyle w:val="Bezodstpw"/>
        <w:numPr>
          <w:ilvl w:val="0"/>
          <w:numId w:val="10"/>
        </w:numPr>
        <w:spacing w:line="276" w:lineRule="auto"/>
        <w:jc w:val="both"/>
        <w:rPr>
          <w:rFonts w:cs="Calibri"/>
          <w:i/>
        </w:rPr>
      </w:pPr>
      <w:r w:rsidRPr="009D4414">
        <w:rPr>
          <w:rFonts w:cs="Calibri"/>
          <w:i/>
        </w:rPr>
        <w:t>kopia skargi,</w:t>
      </w:r>
    </w:p>
    <w:p w:rsidR="004A2FE4" w:rsidRPr="009D4414" w:rsidRDefault="004A2FE4" w:rsidP="004A2FE4">
      <w:pPr>
        <w:pStyle w:val="Bezodstpw"/>
        <w:numPr>
          <w:ilvl w:val="0"/>
          <w:numId w:val="10"/>
        </w:numPr>
        <w:spacing w:line="276" w:lineRule="auto"/>
        <w:jc w:val="both"/>
        <w:rPr>
          <w:rFonts w:cs="Calibri"/>
          <w:i/>
        </w:rPr>
      </w:pPr>
      <w:r w:rsidRPr="009D4414">
        <w:rPr>
          <w:rFonts w:cs="Calibri"/>
          <w:i/>
        </w:rPr>
        <w:t>statut,</w:t>
      </w:r>
    </w:p>
    <w:p w:rsidR="004A2FE4" w:rsidRPr="009D4414" w:rsidRDefault="004A2FE4" w:rsidP="004A2FE4">
      <w:pPr>
        <w:pStyle w:val="Bezodstpw"/>
        <w:numPr>
          <w:ilvl w:val="0"/>
          <w:numId w:val="10"/>
        </w:numPr>
        <w:spacing w:line="276" w:lineRule="auto"/>
        <w:jc w:val="both"/>
        <w:rPr>
          <w:rFonts w:cs="Calibri"/>
          <w:i/>
        </w:rPr>
      </w:pPr>
      <w:r w:rsidRPr="009D4414">
        <w:rPr>
          <w:rFonts w:cs="Calibri"/>
          <w:i/>
        </w:rPr>
        <w:t>KRS.</w:t>
      </w:r>
    </w:p>
    <w:p w:rsidR="008E4E66" w:rsidRPr="009D4414" w:rsidRDefault="008942F8" w:rsidP="009A73D0">
      <w:pPr>
        <w:pStyle w:val="Bezodstpw"/>
        <w:ind w:left="426"/>
        <w:textAlignment w:val="auto"/>
        <w:rPr>
          <w:rFonts w:cs="Calibri"/>
        </w:rPr>
      </w:pPr>
      <w:r w:rsidRPr="009D4414">
        <w:rPr>
          <w:rFonts w:cs="Calibri"/>
        </w:rPr>
        <w:t xml:space="preserve"> </w:t>
      </w:r>
    </w:p>
    <w:sectPr w:rsidR="008E4E66" w:rsidRPr="009D4414">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91E" w:rsidRDefault="00D0391E">
      <w:pPr>
        <w:spacing w:after="0" w:line="240" w:lineRule="auto"/>
      </w:pPr>
      <w:r>
        <w:separator/>
      </w:r>
    </w:p>
  </w:endnote>
  <w:endnote w:type="continuationSeparator" w:id="0">
    <w:p w:rsidR="00D0391E" w:rsidRDefault="00D03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9E6" w:rsidRDefault="000339E6">
    <w:pPr>
      <w:pStyle w:val="Stopka"/>
      <w:jc w:val="center"/>
    </w:pPr>
    <w:r>
      <w:fldChar w:fldCharType="begin"/>
    </w:r>
    <w:r>
      <w:instrText>PAGE   \* MERGEFORMAT</w:instrText>
    </w:r>
    <w:r>
      <w:fldChar w:fldCharType="separate"/>
    </w:r>
    <w:r w:rsidR="00812DA0">
      <w:rPr>
        <w:noProof/>
      </w:rPr>
      <w:t>1</w:t>
    </w:r>
    <w:r>
      <w:fldChar w:fldCharType="end"/>
    </w:r>
  </w:p>
  <w:p w:rsidR="000339E6" w:rsidRDefault="000339E6">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91E" w:rsidRDefault="00D0391E">
      <w:pPr>
        <w:spacing w:after="0" w:line="240" w:lineRule="auto"/>
      </w:pPr>
      <w:r>
        <w:separator/>
      </w:r>
    </w:p>
  </w:footnote>
  <w:footnote w:type="continuationSeparator" w:id="0">
    <w:p w:rsidR="00D0391E" w:rsidRDefault="00D039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04489"/>
    <w:multiLevelType w:val="hybridMultilevel"/>
    <w:tmpl w:val="8314036E"/>
    <w:lvl w:ilvl="0" w:tplc="F9F8610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991662"/>
    <w:multiLevelType w:val="hybridMultilevel"/>
    <w:tmpl w:val="8750AC3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D21360B"/>
    <w:multiLevelType w:val="hybridMultilevel"/>
    <w:tmpl w:val="25E2CDF4"/>
    <w:lvl w:ilvl="0" w:tplc="2796E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2D1779D"/>
    <w:multiLevelType w:val="hybridMultilevel"/>
    <w:tmpl w:val="E342F75A"/>
    <w:lvl w:ilvl="0" w:tplc="714036CA">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1D4C6B"/>
    <w:multiLevelType w:val="hybridMultilevel"/>
    <w:tmpl w:val="ECB0DA7C"/>
    <w:lvl w:ilvl="0" w:tplc="6FF471C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FB53EE"/>
    <w:multiLevelType w:val="hybridMultilevel"/>
    <w:tmpl w:val="0BB2253E"/>
    <w:lvl w:ilvl="0" w:tplc="AA9A44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15388F"/>
    <w:multiLevelType w:val="hybridMultilevel"/>
    <w:tmpl w:val="04A0A79C"/>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459F22FA"/>
    <w:multiLevelType w:val="hybridMultilevel"/>
    <w:tmpl w:val="0630B4DA"/>
    <w:lvl w:ilvl="0" w:tplc="AA9A44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A2B204D"/>
    <w:multiLevelType w:val="hybridMultilevel"/>
    <w:tmpl w:val="D3249E16"/>
    <w:lvl w:ilvl="0" w:tplc="AA9A44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C044C91"/>
    <w:multiLevelType w:val="hybridMultilevel"/>
    <w:tmpl w:val="127EBAFE"/>
    <w:lvl w:ilvl="0" w:tplc="AA9A44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DF63F4D"/>
    <w:multiLevelType w:val="hybridMultilevel"/>
    <w:tmpl w:val="800E1650"/>
    <w:lvl w:ilvl="0" w:tplc="2796E8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B5D7AED"/>
    <w:multiLevelType w:val="hybridMultilevel"/>
    <w:tmpl w:val="7438F3D2"/>
    <w:lvl w:ilvl="0" w:tplc="AA9A44A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9"/>
  </w:num>
  <w:num w:numId="2">
    <w:abstractNumId w:val="4"/>
  </w:num>
  <w:num w:numId="3">
    <w:abstractNumId w:val="8"/>
  </w:num>
  <w:num w:numId="4">
    <w:abstractNumId w:val="7"/>
  </w:num>
  <w:num w:numId="5">
    <w:abstractNumId w:val="6"/>
  </w:num>
  <w:num w:numId="6">
    <w:abstractNumId w:val="5"/>
  </w:num>
  <w:num w:numId="7">
    <w:abstractNumId w:val="1"/>
  </w:num>
  <w:num w:numId="8">
    <w:abstractNumId w:val="11"/>
  </w:num>
  <w:num w:numId="9">
    <w:abstractNumId w:val="0"/>
  </w:num>
  <w:num w:numId="10">
    <w:abstractNumId w:val="10"/>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4888"/>
    <w:rsid w:val="000339E6"/>
    <w:rsid w:val="000518E7"/>
    <w:rsid w:val="000B481A"/>
    <w:rsid w:val="0012646A"/>
    <w:rsid w:val="00133D74"/>
    <w:rsid w:val="00160F36"/>
    <w:rsid w:val="00181E31"/>
    <w:rsid w:val="00186DC7"/>
    <w:rsid w:val="00332665"/>
    <w:rsid w:val="00333C48"/>
    <w:rsid w:val="00360114"/>
    <w:rsid w:val="004621DC"/>
    <w:rsid w:val="004A2FE4"/>
    <w:rsid w:val="004C4888"/>
    <w:rsid w:val="004D3E05"/>
    <w:rsid w:val="005220F6"/>
    <w:rsid w:val="00540BA9"/>
    <w:rsid w:val="005F721C"/>
    <w:rsid w:val="005F7E94"/>
    <w:rsid w:val="00615418"/>
    <w:rsid w:val="00641C02"/>
    <w:rsid w:val="00697BB4"/>
    <w:rsid w:val="006E4080"/>
    <w:rsid w:val="00722C78"/>
    <w:rsid w:val="00730691"/>
    <w:rsid w:val="007B44FD"/>
    <w:rsid w:val="007E6A8A"/>
    <w:rsid w:val="00812DA0"/>
    <w:rsid w:val="008267BB"/>
    <w:rsid w:val="00853D6F"/>
    <w:rsid w:val="008942F8"/>
    <w:rsid w:val="008B1A81"/>
    <w:rsid w:val="008B25F7"/>
    <w:rsid w:val="008E4E66"/>
    <w:rsid w:val="008F6C4D"/>
    <w:rsid w:val="009A73D0"/>
    <w:rsid w:val="009D4414"/>
    <w:rsid w:val="00A06F10"/>
    <w:rsid w:val="00A1673F"/>
    <w:rsid w:val="00A23E7F"/>
    <w:rsid w:val="00A467D9"/>
    <w:rsid w:val="00A86FCA"/>
    <w:rsid w:val="00AD24EF"/>
    <w:rsid w:val="00B247A8"/>
    <w:rsid w:val="00B46B79"/>
    <w:rsid w:val="00BD199B"/>
    <w:rsid w:val="00BE62AF"/>
    <w:rsid w:val="00C57F5F"/>
    <w:rsid w:val="00C631CF"/>
    <w:rsid w:val="00CB105A"/>
    <w:rsid w:val="00CB6CEC"/>
    <w:rsid w:val="00D0391E"/>
    <w:rsid w:val="00D3569D"/>
    <w:rsid w:val="00D75289"/>
    <w:rsid w:val="00DC6F3D"/>
    <w:rsid w:val="00E17F37"/>
    <w:rsid w:val="00EA4610"/>
    <w:rsid w:val="00EC4130"/>
    <w:rsid w:val="00F02EC3"/>
    <w:rsid w:val="00F10543"/>
    <w:rsid w:val="00F362D8"/>
    <w:rsid w:val="00FF61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306CF6"/>
  <w15:chartTrackingRefBased/>
  <w15:docId w15:val="{B30E4864-ABD4-46C6-8666-9047CE691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spacing w:after="200" w:line="276" w:lineRule="auto"/>
      <w:textAlignment w:val="baseline"/>
    </w:pPr>
    <w:rPr>
      <w:rFonts w:ascii="Calibri" w:eastAsia="SimSun" w:hAnsi="Calibri" w:cs="Tahoma"/>
      <w:kern w:val="1"/>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TekstprzypisudolnegoZnak">
    <w:name w:val="Tekst przypisu dolnego Znak"/>
    <w:rPr>
      <w:sz w:val="20"/>
      <w:szCs w:val="20"/>
    </w:rPr>
  </w:style>
  <w:style w:type="character" w:customStyle="1" w:styleId="Odwoanieprzypisudolnego1">
    <w:name w:val="Odwołanie przypisu dolnego1"/>
    <w:rPr>
      <w:position w:val="22"/>
      <w:sz w:val="14"/>
    </w:rPr>
  </w:style>
  <w:style w:type="character" w:customStyle="1" w:styleId="Znakiprzypiswdolnych">
    <w:name w:val="Znaki przypisów dolnych"/>
  </w:style>
  <w:style w:type="character" w:styleId="Odwoanieprzypisudolnego">
    <w:name w:val="footnote reference"/>
    <w:rPr>
      <w:position w:val="22"/>
      <w:sz w:val="14"/>
    </w:rPr>
  </w:style>
  <w:style w:type="character" w:styleId="Odwoanieprzypisukocowego">
    <w:name w:val="endnote reference"/>
    <w:rPr>
      <w:vertAlign w:val="superscript"/>
    </w:rPr>
  </w:style>
  <w:style w:type="character" w:customStyle="1" w:styleId="Znakiprzypiswkocowych">
    <w:name w:val="Znaki przypisów końcowych"/>
  </w:style>
  <w:style w:type="paragraph" w:customStyle="1" w:styleId="Normalny1">
    <w:name w:val="Normalny1"/>
    <w:pPr>
      <w:widowControl w:val="0"/>
      <w:suppressAutoHyphens/>
      <w:spacing w:after="200" w:line="276" w:lineRule="auto"/>
      <w:textAlignment w:val="baseline"/>
    </w:pPr>
    <w:rPr>
      <w:rFonts w:ascii="Calibri" w:eastAsia="SimSun" w:hAnsi="Calibri" w:cs="Tahoma"/>
      <w:kern w:val="1"/>
      <w:sz w:val="22"/>
      <w:szCs w:val="22"/>
      <w:lang w:eastAsia="ar-SA"/>
    </w:rPr>
  </w:style>
  <w:style w:type="paragraph" w:customStyle="1" w:styleId="Nagwek1">
    <w:name w:val="Nagłówek1"/>
    <w:basedOn w:val="Normalny"/>
    <w:next w:val="Tekstpodstawowy"/>
    <w:pPr>
      <w:keepNext/>
      <w:spacing w:before="240" w:after="120"/>
    </w:pPr>
    <w:rPr>
      <w:rFonts w:ascii="Arial" w:eastAsia="Microsoft YaHei" w:hAnsi="Arial" w:cs="Arial"/>
      <w:sz w:val="28"/>
      <w:szCs w:val="28"/>
    </w:rPr>
  </w:style>
  <w:style w:type="paragraph" w:styleId="Tekstpodstawowy">
    <w:name w:val="Body Text"/>
    <w:basedOn w:val="Normalny"/>
    <w:pPr>
      <w:spacing w:after="120"/>
    </w:pPr>
  </w:style>
  <w:style w:type="paragraph" w:styleId="Lista">
    <w:name w:val="List"/>
    <w:basedOn w:val="Tekstpodstawowy"/>
    <w:rPr>
      <w:rFonts w:cs="Arial"/>
    </w:rPr>
  </w:style>
  <w:style w:type="paragraph" w:customStyle="1" w:styleId="Legenda1">
    <w:name w:val="Legenda1"/>
    <w:basedOn w:val="Normalny"/>
    <w:pPr>
      <w:suppressLineNumbers/>
      <w:spacing w:before="120" w:after="120"/>
    </w:pPr>
    <w:rPr>
      <w:rFonts w:cs="Arial"/>
      <w:i/>
      <w:iCs/>
      <w:sz w:val="24"/>
      <w:szCs w:val="24"/>
    </w:rPr>
  </w:style>
  <w:style w:type="paragraph" w:customStyle="1" w:styleId="Indeks">
    <w:name w:val="Indeks"/>
    <w:basedOn w:val="Normalny"/>
    <w:pPr>
      <w:suppressLineNumbers/>
    </w:pPr>
    <w:rPr>
      <w:rFonts w:cs="Arial"/>
    </w:rPr>
  </w:style>
  <w:style w:type="paragraph" w:customStyle="1" w:styleId="Tekstprzypisudolnego1">
    <w:name w:val="Tekst przypisu dolnego1"/>
    <w:basedOn w:val="Normalny"/>
    <w:pPr>
      <w:spacing w:after="0" w:line="100" w:lineRule="atLeast"/>
    </w:pPr>
    <w:rPr>
      <w:sz w:val="20"/>
      <w:szCs w:val="20"/>
    </w:rPr>
  </w:style>
  <w:style w:type="paragraph" w:styleId="Tekstprzypisudolnego">
    <w:name w:val="footnote text"/>
    <w:basedOn w:val="Normalny"/>
    <w:pPr>
      <w:suppressLineNumbers/>
      <w:ind w:left="283" w:hanging="283"/>
    </w:pPr>
    <w:rPr>
      <w:sz w:val="20"/>
      <w:szCs w:val="20"/>
    </w:rPr>
  </w:style>
  <w:style w:type="paragraph" w:styleId="Bezodstpw">
    <w:name w:val="No Spacing"/>
    <w:uiPriority w:val="1"/>
    <w:qFormat/>
    <w:rsid w:val="004C4888"/>
    <w:pPr>
      <w:suppressAutoHyphens/>
      <w:textAlignment w:val="baseline"/>
    </w:pPr>
    <w:rPr>
      <w:rFonts w:ascii="Calibri" w:eastAsia="SimSun" w:hAnsi="Calibri" w:cs="Tahoma"/>
      <w:kern w:val="1"/>
      <w:sz w:val="22"/>
      <w:szCs w:val="22"/>
      <w:lang w:eastAsia="ar-SA"/>
    </w:rPr>
  </w:style>
  <w:style w:type="paragraph" w:customStyle="1" w:styleId="Standard">
    <w:name w:val="Standard"/>
    <w:rsid w:val="00A1673F"/>
    <w:pPr>
      <w:suppressAutoHyphens/>
      <w:autoSpaceDN w:val="0"/>
      <w:spacing w:after="200" w:line="276" w:lineRule="auto"/>
      <w:textAlignment w:val="baseline"/>
    </w:pPr>
    <w:rPr>
      <w:rFonts w:ascii="Calibri" w:eastAsia="SimSun" w:hAnsi="Calibri" w:cs="Tahoma"/>
      <w:kern w:val="3"/>
      <w:sz w:val="22"/>
      <w:szCs w:val="22"/>
      <w:lang w:eastAsia="en-US"/>
    </w:rPr>
  </w:style>
  <w:style w:type="paragraph" w:styleId="Nagwek">
    <w:name w:val="header"/>
    <w:basedOn w:val="Normalny"/>
    <w:link w:val="NagwekZnak"/>
    <w:uiPriority w:val="99"/>
    <w:unhideWhenUsed/>
    <w:rsid w:val="000339E6"/>
    <w:pPr>
      <w:tabs>
        <w:tab w:val="center" w:pos="4536"/>
        <w:tab w:val="right" w:pos="9072"/>
      </w:tabs>
    </w:pPr>
  </w:style>
  <w:style w:type="character" w:customStyle="1" w:styleId="NagwekZnak">
    <w:name w:val="Nagłówek Znak"/>
    <w:link w:val="Nagwek"/>
    <w:uiPriority w:val="99"/>
    <w:rsid w:val="000339E6"/>
    <w:rPr>
      <w:rFonts w:ascii="Calibri" w:eastAsia="SimSun" w:hAnsi="Calibri" w:cs="Tahoma"/>
      <w:kern w:val="1"/>
      <w:sz w:val="22"/>
      <w:szCs w:val="22"/>
      <w:lang w:eastAsia="ar-SA"/>
    </w:rPr>
  </w:style>
  <w:style w:type="paragraph" w:styleId="Stopka">
    <w:name w:val="footer"/>
    <w:basedOn w:val="Normalny"/>
    <w:link w:val="StopkaZnak"/>
    <w:uiPriority w:val="99"/>
    <w:unhideWhenUsed/>
    <w:rsid w:val="000339E6"/>
    <w:pPr>
      <w:tabs>
        <w:tab w:val="center" w:pos="4536"/>
        <w:tab w:val="right" w:pos="9072"/>
      </w:tabs>
    </w:pPr>
  </w:style>
  <w:style w:type="character" w:customStyle="1" w:styleId="StopkaZnak">
    <w:name w:val="Stopka Znak"/>
    <w:link w:val="Stopka"/>
    <w:uiPriority w:val="99"/>
    <w:rsid w:val="000339E6"/>
    <w:rPr>
      <w:rFonts w:ascii="Calibri" w:eastAsia="SimSun" w:hAnsi="Calibri" w:cs="Tahoma"/>
      <w:kern w:val="1"/>
      <w:sz w:val="22"/>
      <w:szCs w:val="22"/>
      <w:lang w:eastAsia="ar-SA"/>
    </w:rPr>
  </w:style>
  <w:style w:type="paragraph" w:styleId="Tekstprzypisukocowego">
    <w:name w:val="endnote text"/>
    <w:basedOn w:val="Normalny"/>
    <w:link w:val="TekstprzypisukocowegoZnak"/>
    <w:uiPriority w:val="99"/>
    <w:semiHidden/>
    <w:unhideWhenUsed/>
    <w:rsid w:val="00615418"/>
    <w:rPr>
      <w:sz w:val="20"/>
      <w:szCs w:val="20"/>
    </w:rPr>
  </w:style>
  <w:style w:type="character" w:customStyle="1" w:styleId="TekstprzypisukocowegoZnak">
    <w:name w:val="Tekst przypisu końcowego Znak"/>
    <w:link w:val="Tekstprzypisukocowego"/>
    <w:uiPriority w:val="99"/>
    <w:semiHidden/>
    <w:rsid w:val="00615418"/>
    <w:rPr>
      <w:rFonts w:ascii="Calibri" w:eastAsia="SimSun" w:hAnsi="Calibri" w:cs="Tahoma"/>
      <w:kern w:val="1"/>
      <w:lang w:eastAsia="ar-SA"/>
    </w:rPr>
  </w:style>
  <w:style w:type="paragraph" w:styleId="Akapitzlist">
    <w:name w:val="List Paragraph"/>
    <w:basedOn w:val="Normalny"/>
    <w:uiPriority w:val="34"/>
    <w:qFormat/>
    <w:rsid w:val="00D75289"/>
    <w:pPr>
      <w:suppressAutoHyphens w:val="0"/>
      <w:ind w:left="720"/>
      <w:contextualSpacing/>
      <w:textAlignment w:val="auto"/>
    </w:pPr>
    <w:rPr>
      <w:rFonts w:eastAsia="Calibri" w:cs="Times New Roman"/>
      <w:kern w:val="0"/>
      <w:lang w:eastAsia="en-US"/>
    </w:rPr>
  </w:style>
  <w:style w:type="paragraph" w:styleId="Tekstkomentarza">
    <w:name w:val="annotation text"/>
    <w:basedOn w:val="Normalny"/>
    <w:link w:val="TekstkomentarzaZnak"/>
    <w:uiPriority w:val="99"/>
    <w:semiHidden/>
    <w:unhideWhenUsed/>
    <w:rsid w:val="00D75289"/>
    <w:rPr>
      <w:sz w:val="20"/>
      <w:szCs w:val="20"/>
    </w:rPr>
  </w:style>
  <w:style w:type="character" w:customStyle="1" w:styleId="TekstkomentarzaZnak">
    <w:name w:val="Tekst komentarza Znak"/>
    <w:link w:val="Tekstkomentarza"/>
    <w:uiPriority w:val="99"/>
    <w:semiHidden/>
    <w:rsid w:val="00D75289"/>
    <w:rPr>
      <w:rFonts w:ascii="Calibri" w:eastAsia="SimSun" w:hAnsi="Calibri" w:cs="Tahoma"/>
      <w:kern w:val="1"/>
      <w:lang w:eastAsia="ar-SA"/>
    </w:rPr>
  </w:style>
  <w:style w:type="paragraph" w:styleId="Tematkomentarza">
    <w:name w:val="annotation subject"/>
    <w:basedOn w:val="Tekstkomentarza"/>
    <w:next w:val="Tekstkomentarza"/>
    <w:link w:val="TematkomentarzaZnak"/>
    <w:uiPriority w:val="99"/>
    <w:semiHidden/>
    <w:unhideWhenUsed/>
    <w:rsid w:val="00D75289"/>
    <w:pPr>
      <w:suppressAutoHyphens w:val="0"/>
      <w:spacing w:line="240" w:lineRule="auto"/>
      <w:textAlignment w:val="auto"/>
    </w:pPr>
    <w:rPr>
      <w:rFonts w:eastAsia="Calibri" w:cs="Times New Roman"/>
      <w:b/>
      <w:bCs/>
      <w:kern w:val="0"/>
      <w:lang w:eastAsia="en-US"/>
    </w:rPr>
  </w:style>
  <w:style w:type="character" w:customStyle="1" w:styleId="TematkomentarzaZnak">
    <w:name w:val="Temat komentarza Znak"/>
    <w:link w:val="Tematkomentarza"/>
    <w:uiPriority w:val="99"/>
    <w:semiHidden/>
    <w:rsid w:val="00D75289"/>
    <w:rPr>
      <w:rFonts w:ascii="Calibri" w:eastAsia="Calibri" w:hAnsi="Calibri" w:cs="Tahoma"/>
      <w:b/>
      <w:bCs/>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D2EB8-8944-4BFB-B55A-C6B75B18B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4301</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Agnieszka Z</cp:lastModifiedBy>
  <cp:revision>4</cp:revision>
  <cp:lastPrinted>1899-12-31T23:00:00Z</cp:lastPrinted>
  <dcterms:created xsi:type="dcterms:W3CDTF">2018-10-15T08:54:00Z</dcterms:created>
  <dcterms:modified xsi:type="dcterms:W3CDTF">2019-09-26T11:09:00Z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