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Y="1081"/>
        <w:tblW w:w="9851" w:type="dxa"/>
        <w:tblCellMar>
          <w:left w:w="70" w:type="dxa"/>
          <w:right w:w="70" w:type="dxa"/>
        </w:tblCellMar>
        <w:tblLook w:val="0000" w:firstRow="0" w:lastRow="0" w:firstColumn="0" w:lastColumn="0" w:noHBand="0" w:noVBand="0"/>
      </w:tblPr>
      <w:tblGrid>
        <w:gridCol w:w="1771"/>
        <w:gridCol w:w="2977"/>
        <w:gridCol w:w="992"/>
        <w:gridCol w:w="4111"/>
      </w:tblGrid>
      <w:tr w:rsidR="00F553AB" w:rsidTr="00E46763">
        <w:trPr>
          <w:trHeight w:val="336"/>
        </w:trPr>
        <w:tc>
          <w:tcPr>
            <w:tcW w:w="5740" w:type="dxa"/>
            <w:gridSpan w:val="3"/>
            <w:vMerge w:val="restart"/>
          </w:tcPr>
          <w:p w:rsidR="00F553AB" w:rsidRDefault="0033481A" w:rsidP="00324F6C">
            <w:pPr>
              <w:spacing w:after="0"/>
              <w:rPr>
                <w:rFonts w:ascii="Bookman Old Style" w:hAnsi="Bookman Old Style" w:cs="Bookman Old Style"/>
                <w:b/>
                <w:bCs/>
              </w:rPr>
            </w:pPr>
            <w:r>
              <w:rPr>
                <w:noProof/>
                <w:lang w:eastAsia="pl-PL"/>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714375" cy="800100"/>
                  <wp:effectExtent l="0" t="0" r="9525" b="0"/>
                  <wp:wrapSquare wrapText="bothSides"/>
                  <wp:docPr id="3" name="Obraz 42" descr="orzel-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2" descr="orzel-cle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Borders>
              <w:tl2br w:val="single" w:sz="4" w:space="0" w:color="FFFFFF"/>
              <w:tr2bl w:val="single" w:sz="4" w:space="0" w:color="FFFFFF"/>
            </w:tcBorders>
            <w:shd w:val="clear" w:color="auto" w:fill="auto"/>
          </w:tcPr>
          <w:p w:rsidR="00F553AB" w:rsidRDefault="00F553AB" w:rsidP="00F553AB">
            <w:pPr>
              <w:spacing w:after="100" w:afterAutospacing="1"/>
              <w:jc w:val="right"/>
              <w:rPr>
                <w:rFonts w:ascii="Bookman Old Style" w:hAnsi="Bookman Old Style" w:cs="Bookman Old Style"/>
                <w:b/>
                <w:bCs/>
              </w:rPr>
            </w:pPr>
          </w:p>
        </w:tc>
      </w:tr>
      <w:tr w:rsidR="00F553AB" w:rsidTr="00F553AB">
        <w:trPr>
          <w:trHeight w:val="945"/>
        </w:trPr>
        <w:tc>
          <w:tcPr>
            <w:tcW w:w="5740" w:type="dxa"/>
            <w:gridSpan w:val="3"/>
            <w:vMerge/>
          </w:tcPr>
          <w:p w:rsidR="00F553AB" w:rsidRDefault="00F553AB" w:rsidP="00F553AB">
            <w:pPr>
              <w:spacing w:after="0"/>
              <w:jc w:val="center"/>
            </w:pPr>
          </w:p>
        </w:tc>
        <w:tc>
          <w:tcPr>
            <w:tcW w:w="4111" w:type="dxa"/>
            <w:shd w:val="clear" w:color="auto" w:fill="auto"/>
          </w:tcPr>
          <w:p w:rsidR="00F553AB" w:rsidRPr="00017794" w:rsidRDefault="00D169BB" w:rsidP="00D169BB">
            <w:pPr>
              <w:spacing w:after="0" w:line="240" w:lineRule="auto"/>
              <w:jc w:val="right"/>
              <w:rPr>
                <w:rFonts w:ascii="Bookman Old Style" w:hAnsi="Bookman Old Style" w:cs="Bookman Old Style"/>
              </w:rPr>
            </w:pPr>
            <w:r w:rsidRPr="00017794">
              <w:rPr>
                <w:rFonts w:ascii="Bookman Old Style" w:hAnsi="Bookman Old Style" w:cs="Bookman Old Style"/>
              </w:rPr>
              <w:t xml:space="preserve">Warszawa, dnia </w:t>
            </w:r>
            <w:r w:rsidRPr="00017794">
              <w:rPr>
                <w:rFonts w:ascii="Bookman Old Style" w:hAnsi="Bookman Old Style" w:cs="Bookman Old Style"/>
              </w:rPr>
              <w:fldChar w:fldCharType="begin"/>
            </w:r>
            <w:r w:rsidRPr="00017794">
              <w:rPr>
                <w:rFonts w:ascii="Bookman Old Style" w:hAnsi="Bookman Old Style" w:cs="Bookman Old Style"/>
              </w:rPr>
              <w:instrText xml:space="preserve"> DATE  \@ "d MMMM yyyy"  \* MERGEFORMAT </w:instrText>
            </w:r>
            <w:r w:rsidRPr="00017794">
              <w:rPr>
                <w:rFonts w:ascii="Bookman Old Style" w:hAnsi="Bookman Old Style" w:cs="Bookman Old Style"/>
              </w:rPr>
              <w:fldChar w:fldCharType="separate"/>
            </w:r>
            <w:r w:rsidR="00F7098C">
              <w:rPr>
                <w:rFonts w:ascii="Bookman Old Style" w:hAnsi="Bookman Old Style" w:cs="Bookman Old Style"/>
                <w:noProof/>
              </w:rPr>
              <w:t>18 marca 2019</w:t>
            </w:r>
            <w:r w:rsidRPr="00017794">
              <w:rPr>
                <w:rFonts w:ascii="Bookman Old Style" w:hAnsi="Bookman Old Style" w:cs="Bookman Old Style"/>
              </w:rPr>
              <w:fldChar w:fldCharType="end"/>
            </w:r>
            <w:r w:rsidRPr="00017794">
              <w:rPr>
                <w:rFonts w:ascii="Bookman Old Style" w:hAnsi="Bookman Old Style" w:cs="Bookman Old Style"/>
              </w:rPr>
              <w:t xml:space="preserve"> r.</w:t>
            </w:r>
          </w:p>
        </w:tc>
      </w:tr>
      <w:tr w:rsidR="00F553AB" w:rsidTr="00CF2D23">
        <w:trPr>
          <w:trHeight w:val="1276"/>
        </w:trPr>
        <w:tc>
          <w:tcPr>
            <w:tcW w:w="5740" w:type="dxa"/>
            <w:gridSpan w:val="3"/>
          </w:tcPr>
          <w:p w:rsidR="00F553AB" w:rsidRPr="00CF2D23" w:rsidRDefault="00AC3CFE" w:rsidP="00017794">
            <w:pPr>
              <w:pStyle w:val="Nagwek"/>
              <w:tabs>
                <w:tab w:val="clear" w:pos="4536"/>
                <w:tab w:val="clear" w:pos="9072"/>
                <w:tab w:val="left" w:pos="5940"/>
              </w:tabs>
              <w:spacing w:line="276" w:lineRule="auto"/>
              <w:ind w:right="72"/>
              <w:jc w:val="center"/>
              <w:rPr>
                <w:rFonts w:ascii="Bookman Old Style" w:hAnsi="Bookman Old Style" w:cs="Times New Roman"/>
                <w:b/>
                <w:bCs/>
                <w:spacing w:val="24"/>
                <w:sz w:val="30"/>
                <w:szCs w:val="30"/>
              </w:rPr>
            </w:pPr>
            <w:r w:rsidRPr="00CF2D23">
              <w:rPr>
                <w:rFonts w:ascii="Bookman Old Style" w:hAnsi="Bookman Old Style" w:cs="Times New Roman"/>
                <w:b/>
                <w:bCs/>
                <w:noProof/>
                <w:spacing w:val="24"/>
                <w:sz w:val="30"/>
                <w:szCs w:val="30"/>
                <w:lang w:eastAsia="pl-PL"/>
              </w:rPr>
              <w:t>INSPEKCJA WETERYNARYJNA</w:t>
            </w:r>
          </w:p>
          <w:p w:rsidR="00F553AB" w:rsidRPr="008A504B" w:rsidRDefault="00AC3CFE" w:rsidP="00017794">
            <w:pPr>
              <w:pStyle w:val="Nagwek"/>
              <w:tabs>
                <w:tab w:val="clear" w:pos="4536"/>
              </w:tabs>
              <w:spacing w:line="276" w:lineRule="auto"/>
              <w:ind w:right="72"/>
              <w:jc w:val="center"/>
              <w:rPr>
                <w:rFonts w:ascii="Bookman Old Style" w:hAnsi="Bookman Old Style" w:cs="Times New Roman"/>
                <w:sz w:val="24"/>
              </w:rPr>
            </w:pPr>
            <w:r w:rsidRPr="008A504B">
              <w:rPr>
                <w:rFonts w:ascii="Bookman Old Style" w:hAnsi="Bookman Old Style" w:cs="Times New Roman"/>
                <w:sz w:val="24"/>
              </w:rPr>
              <w:t>GŁÓWNY LEKARZ WETERYNARII</w:t>
            </w:r>
          </w:p>
          <w:p w:rsidR="00CF2D23" w:rsidRPr="00CF2D23" w:rsidRDefault="00CF2D23" w:rsidP="00017794">
            <w:pPr>
              <w:pStyle w:val="Nagwek"/>
              <w:tabs>
                <w:tab w:val="clear" w:pos="4536"/>
              </w:tabs>
              <w:spacing w:line="276" w:lineRule="auto"/>
              <w:ind w:right="72"/>
              <w:jc w:val="center"/>
              <w:rPr>
                <w:rFonts w:ascii="Times New Roman" w:hAnsi="Times New Roman" w:cs="Times New Roman"/>
                <w:b/>
                <w:i/>
              </w:rPr>
            </w:pPr>
            <w:r w:rsidRPr="00CF2D23">
              <w:rPr>
                <w:rFonts w:ascii="Bookman Old Style" w:hAnsi="Bookman Old Style" w:cs="Times New Roman"/>
                <w:b/>
                <w:i/>
                <w:sz w:val="24"/>
              </w:rPr>
              <w:t>Paweł Niemczuk</w:t>
            </w:r>
          </w:p>
        </w:tc>
        <w:tc>
          <w:tcPr>
            <w:tcW w:w="4111" w:type="dxa"/>
            <w:tcBorders>
              <w:tl2br w:val="single" w:sz="4" w:space="0" w:color="FFFFFF"/>
              <w:tr2bl w:val="single" w:sz="4" w:space="0" w:color="FFFFFF"/>
            </w:tcBorders>
            <w:shd w:val="clear" w:color="auto" w:fill="auto"/>
          </w:tcPr>
          <w:p w:rsidR="00F553AB" w:rsidRDefault="00F553AB" w:rsidP="00F553AB">
            <w:pPr>
              <w:spacing w:after="0" w:line="240" w:lineRule="auto"/>
              <w:rPr>
                <w:rFonts w:ascii="Bookman Old Style" w:hAnsi="Bookman Old Style" w:cs="Bookman Old Style"/>
                <w:b/>
                <w:bCs/>
              </w:rPr>
            </w:pPr>
          </w:p>
        </w:tc>
      </w:tr>
      <w:tr w:rsidR="00F553AB" w:rsidTr="00D169BB">
        <w:tblPrEx>
          <w:tblLook w:val="04A0" w:firstRow="1" w:lastRow="0" w:firstColumn="1" w:lastColumn="0" w:noHBand="0" w:noVBand="1"/>
        </w:tblPrEx>
        <w:trPr>
          <w:trHeight w:val="697"/>
        </w:trPr>
        <w:tc>
          <w:tcPr>
            <w:tcW w:w="4748" w:type="dxa"/>
            <w:gridSpan w:val="2"/>
            <w:tcBorders>
              <w:tl2br w:val="single" w:sz="4" w:space="0" w:color="FFFFFF"/>
              <w:tr2bl w:val="single" w:sz="4" w:space="0" w:color="FFFFFF"/>
            </w:tcBorders>
            <w:shd w:val="clear" w:color="auto" w:fill="auto"/>
            <w:vAlign w:val="center"/>
          </w:tcPr>
          <w:p w:rsidR="00F553AB" w:rsidRDefault="00F553AB" w:rsidP="00F553AB">
            <w:pPr>
              <w:spacing w:after="0"/>
              <w:ind w:left="180"/>
              <w:rPr>
                <w:rFonts w:ascii="Bookman Old Style" w:hAnsi="Bookman Old Style" w:cs="Bookman Old Style"/>
                <w:b/>
                <w:bCs/>
              </w:rPr>
            </w:pPr>
          </w:p>
        </w:tc>
        <w:tc>
          <w:tcPr>
            <w:tcW w:w="5103" w:type="dxa"/>
            <w:gridSpan w:val="2"/>
            <w:shd w:val="clear" w:color="auto" w:fill="auto"/>
            <w:hideMark/>
          </w:tcPr>
          <w:p w:rsidR="00D871E1" w:rsidRDefault="00091DE0" w:rsidP="00D871E1">
            <w:pPr>
              <w:spacing w:after="120" w:line="240" w:lineRule="auto"/>
              <w:jc w:val="both"/>
              <w:rPr>
                <w:rFonts w:ascii="Bookman Old Style" w:hAnsi="Bookman Old Style"/>
                <w:b/>
              </w:rPr>
            </w:pPr>
            <w:r>
              <w:rPr>
                <w:rFonts w:ascii="Bookman Old Style" w:hAnsi="Bookman Old Style"/>
                <w:b/>
              </w:rPr>
              <w:t xml:space="preserve">Sieć Obywatelska – </w:t>
            </w:r>
            <w:proofErr w:type="spellStart"/>
            <w:r>
              <w:rPr>
                <w:rFonts w:ascii="Bookman Old Style" w:hAnsi="Bookman Old Style"/>
                <w:b/>
              </w:rPr>
              <w:t>Watchdog</w:t>
            </w:r>
            <w:proofErr w:type="spellEnd"/>
            <w:r>
              <w:rPr>
                <w:rFonts w:ascii="Bookman Old Style" w:hAnsi="Bookman Old Style"/>
                <w:b/>
              </w:rPr>
              <w:t xml:space="preserve"> Polska</w:t>
            </w:r>
          </w:p>
          <w:p w:rsidR="00874201" w:rsidRDefault="00874201" w:rsidP="00D871E1">
            <w:pPr>
              <w:spacing w:after="120" w:line="240" w:lineRule="auto"/>
              <w:jc w:val="both"/>
              <w:rPr>
                <w:rFonts w:ascii="Bookman Old Style" w:hAnsi="Bookman Old Style"/>
                <w:b/>
              </w:rPr>
            </w:pPr>
            <w:r>
              <w:rPr>
                <w:rFonts w:ascii="Bookman Old Style" w:hAnsi="Bookman Old Style"/>
                <w:b/>
              </w:rPr>
              <w:t>Ul. Ursynowska 22/2</w:t>
            </w:r>
          </w:p>
          <w:p w:rsidR="00874201" w:rsidRPr="00D871E1" w:rsidRDefault="00874201" w:rsidP="00D871E1">
            <w:pPr>
              <w:spacing w:after="120" w:line="240" w:lineRule="auto"/>
              <w:jc w:val="both"/>
              <w:rPr>
                <w:rFonts w:ascii="Bookman Old Style" w:hAnsi="Bookman Old Style"/>
                <w:b/>
              </w:rPr>
            </w:pPr>
            <w:r>
              <w:rPr>
                <w:rFonts w:ascii="Bookman Old Style" w:hAnsi="Bookman Old Style"/>
                <w:b/>
              </w:rPr>
              <w:t>02-605 Warszawa</w:t>
            </w:r>
          </w:p>
          <w:p w:rsidR="00F553AB" w:rsidRPr="00D871E1" w:rsidRDefault="00F553AB" w:rsidP="00D871E1">
            <w:pPr>
              <w:spacing w:after="0" w:line="240" w:lineRule="auto"/>
              <w:jc w:val="both"/>
              <w:rPr>
                <w:rFonts w:ascii="Bookman Old Style" w:hAnsi="Bookman Old Style"/>
                <w:b/>
              </w:rPr>
            </w:pPr>
          </w:p>
        </w:tc>
      </w:tr>
      <w:tr w:rsidR="00F553AB" w:rsidTr="00F553AB">
        <w:tblPrEx>
          <w:tblLook w:val="04A0" w:firstRow="1" w:lastRow="0" w:firstColumn="1" w:lastColumn="0" w:noHBand="0" w:noVBand="1"/>
        </w:tblPrEx>
        <w:trPr>
          <w:trHeight w:val="352"/>
        </w:trPr>
        <w:tc>
          <w:tcPr>
            <w:tcW w:w="1771" w:type="dxa"/>
            <w:shd w:val="clear" w:color="auto" w:fill="auto"/>
            <w:vAlign w:val="center"/>
            <w:hideMark/>
          </w:tcPr>
          <w:p w:rsidR="00F553AB" w:rsidRDefault="00F553AB" w:rsidP="00F553AB">
            <w:pPr>
              <w:spacing w:after="0"/>
              <w:rPr>
                <w:rFonts w:ascii="Bookman Old Style" w:hAnsi="Bookman Old Style" w:cs="Bookman Old Style"/>
                <w:b/>
                <w:bCs/>
                <w:sz w:val="16"/>
                <w:szCs w:val="16"/>
              </w:rPr>
            </w:pPr>
            <w:r>
              <w:rPr>
                <w:rFonts w:ascii="Bookman Old Style" w:hAnsi="Bookman Old Style" w:cs="Bookman Old Style"/>
                <w:sz w:val="16"/>
                <w:szCs w:val="16"/>
              </w:rPr>
              <w:t xml:space="preserve">Nasz znak: </w:t>
            </w:r>
          </w:p>
        </w:tc>
        <w:tc>
          <w:tcPr>
            <w:tcW w:w="8080" w:type="dxa"/>
            <w:gridSpan w:val="3"/>
            <w:shd w:val="clear" w:color="auto" w:fill="auto"/>
            <w:vAlign w:val="center"/>
            <w:hideMark/>
          </w:tcPr>
          <w:p w:rsidR="00F553AB" w:rsidRDefault="00F553AB" w:rsidP="00F553AB">
            <w:pPr>
              <w:spacing w:after="0"/>
              <w:rPr>
                <w:rFonts w:ascii="Bookman Old Style" w:hAnsi="Bookman Old Style" w:cs="Bookman Old Style"/>
                <w:bCs/>
                <w:sz w:val="16"/>
                <w:szCs w:val="16"/>
              </w:rPr>
            </w:pPr>
            <w:r w:rsidRPr="00186651">
              <w:rPr>
                <w:rFonts w:ascii="Bookman Old Style" w:hAnsi="Bookman Old Style" w:cs="Bookman Old Style"/>
                <w:sz w:val="16"/>
                <w:szCs w:val="16"/>
              </w:rPr>
              <w:t>GIW</w:t>
            </w:r>
            <w:r w:rsidR="00874201">
              <w:rPr>
                <w:rFonts w:ascii="Bookman Old Style" w:hAnsi="Bookman Old Style" w:cs="Bookman Old Style"/>
                <w:sz w:val="16"/>
                <w:szCs w:val="16"/>
              </w:rPr>
              <w:t>pr025</w:t>
            </w:r>
            <w:r w:rsidRPr="00186651">
              <w:rPr>
                <w:rFonts w:ascii="Bookman Old Style" w:hAnsi="Bookman Old Style" w:cs="Bookman Old Style"/>
                <w:sz w:val="16"/>
                <w:szCs w:val="16"/>
              </w:rPr>
              <w:t>-</w:t>
            </w:r>
            <w:r w:rsidR="00874201">
              <w:rPr>
                <w:rFonts w:ascii="Bookman Old Style" w:hAnsi="Bookman Old Style" w:cs="Bookman Old Style"/>
                <w:sz w:val="16"/>
                <w:szCs w:val="16"/>
              </w:rPr>
              <w:t>6</w:t>
            </w:r>
            <w:r w:rsidR="00901508">
              <w:rPr>
                <w:rFonts w:ascii="Bookman Old Style" w:hAnsi="Bookman Old Style" w:cs="Bookman Old Style"/>
                <w:sz w:val="16"/>
                <w:szCs w:val="16"/>
              </w:rPr>
              <w:t>/201</w:t>
            </w:r>
            <w:r w:rsidR="00874201">
              <w:rPr>
                <w:rFonts w:ascii="Bookman Old Style" w:hAnsi="Bookman Old Style" w:cs="Bookman Old Style"/>
                <w:sz w:val="16"/>
                <w:szCs w:val="16"/>
              </w:rPr>
              <w:t>9 (1)</w:t>
            </w:r>
          </w:p>
        </w:tc>
      </w:tr>
    </w:tbl>
    <w:p w:rsidR="00C212B3" w:rsidRPr="000429B8" w:rsidRDefault="00C212B3" w:rsidP="00F553AB">
      <w:pPr>
        <w:spacing w:after="0"/>
        <w:rPr>
          <w:rFonts w:ascii="Bookman Old Style" w:hAnsi="Bookman Old Style" w:cs="Bookman Old Style"/>
          <w:szCs w:val="24"/>
        </w:rPr>
      </w:pPr>
    </w:p>
    <w:p w:rsidR="003A0541" w:rsidRDefault="003A0541">
      <w:pPr>
        <w:spacing w:after="0" w:line="240" w:lineRule="auto"/>
        <w:rPr>
          <w:rFonts w:ascii="Bookman Old Style" w:hAnsi="Bookman Old Style" w:cs="Bookman Old Style"/>
          <w:szCs w:val="24"/>
        </w:rPr>
      </w:pPr>
    </w:p>
    <w:p w:rsidR="003A0541" w:rsidRDefault="003A0541">
      <w:pPr>
        <w:spacing w:after="0" w:line="240" w:lineRule="auto"/>
        <w:rPr>
          <w:rFonts w:ascii="Bookman Old Style" w:hAnsi="Bookman Old Style" w:cs="Bookman Old Style"/>
          <w:szCs w:val="24"/>
        </w:rPr>
      </w:pPr>
    </w:p>
    <w:p w:rsidR="00874201" w:rsidRPr="00874201" w:rsidRDefault="00874201" w:rsidP="00874201">
      <w:pPr>
        <w:spacing w:line="360" w:lineRule="auto"/>
        <w:jc w:val="center"/>
        <w:rPr>
          <w:rFonts w:ascii="Bookman Old Style" w:hAnsi="Bookman Old Style"/>
          <w:b/>
        </w:rPr>
      </w:pPr>
      <w:r w:rsidRPr="00874201">
        <w:rPr>
          <w:rFonts w:ascii="Bookman Old Style" w:hAnsi="Bookman Old Style"/>
          <w:b/>
        </w:rPr>
        <w:t>Decyzja</w:t>
      </w:r>
    </w:p>
    <w:p w:rsidR="00874201" w:rsidRDefault="00874201" w:rsidP="00D0666E">
      <w:pPr>
        <w:spacing w:line="360" w:lineRule="auto"/>
        <w:ind w:firstLine="708"/>
        <w:jc w:val="both"/>
        <w:rPr>
          <w:rFonts w:ascii="Bookman Old Style" w:hAnsi="Bookman Old Style"/>
        </w:rPr>
      </w:pPr>
    </w:p>
    <w:p w:rsidR="00874201" w:rsidRDefault="00874201" w:rsidP="00874201">
      <w:pPr>
        <w:spacing w:line="360" w:lineRule="auto"/>
        <w:ind w:firstLine="708"/>
        <w:jc w:val="both"/>
        <w:rPr>
          <w:rFonts w:ascii="Bookman Old Style" w:hAnsi="Bookman Old Style"/>
        </w:rPr>
      </w:pPr>
      <w:r w:rsidRPr="00874201">
        <w:rPr>
          <w:rFonts w:ascii="Bookman Old Style" w:hAnsi="Bookman Old Style"/>
        </w:rPr>
        <w:t>Na podstawie art. 104 ustawy z 14</w:t>
      </w:r>
      <w:r>
        <w:rPr>
          <w:rFonts w:ascii="Bookman Old Style" w:hAnsi="Bookman Old Style"/>
        </w:rPr>
        <w:t xml:space="preserve"> czerwca </w:t>
      </w:r>
      <w:r w:rsidRPr="00874201">
        <w:rPr>
          <w:rFonts w:ascii="Bookman Old Style" w:hAnsi="Bookman Old Style"/>
        </w:rPr>
        <w:t xml:space="preserve">1960 r. – Kodeks postępowania administracyjnego (Dz. U. z 2018 r. poz. 2096, z </w:t>
      </w:r>
      <w:proofErr w:type="spellStart"/>
      <w:r w:rsidRPr="00874201">
        <w:rPr>
          <w:rFonts w:ascii="Bookman Old Style" w:hAnsi="Bookman Old Style"/>
        </w:rPr>
        <w:t>późn</w:t>
      </w:r>
      <w:proofErr w:type="spellEnd"/>
      <w:r w:rsidRPr="00874201">
        <w:rPr>
          <w:rFonts w:ascii="Bookman Old Style" w:hAnsi="Bookman Old Style"/>
        </w:rPr>
        <w:t xml:space="preserve">. </w:t>
      </w:r>
      <w:proofErr w:type="spellStart"/>
      <w:r w:rsidRPr="00874201">
        <w:rPr>
          <w:rFonts w:ascii="Bookman Old Style" w:hAnsi="Bookman Old Style"/>
        </w:rPr>
        <w:t>zm</w:t>
      </w:r>
      <w:proofErr w:type="spellEnd"/>
      <w:r w:rsidRPr="00874201">
        <w:rPr>
          <w:rFonts w:ascii="Bookman Old Style" w:hAnsi="Bookman Old Style"/>
        </w:rPr>
        <w:t xml:space="preserve">) w zw. z art. 16 </w:t>
      </w:r>
      <w:r>
        <w:rPr>
          <w:rFonts w:ascii="Bookman Old Style" w:hAnsi="Bookman Old Style"/>
        </w:rPr>
        <w:t xml:space="preserve">ust. 1 </w:t>
      </w:r>
      <w:r w:rsidRPr="00874201">
        <w:rPr>
          <w:rFonts w:ascii="Bookman Old Style" w:hAnsi="Bookman Old Style"/>
        </w:rPr>
        <w:t xml:space="preserve">ustawy </w:t>
      </w:r>
      <w:r w:rsidR="003338F6">
        <w:rPr>
          <w:rFonts w:ascii="Bookman Old Style" w:hAnsi="Bookman Old Style"/>
        </w:rPr>
        <w:br/>
      </w:r>
      <w:r w:rsidRPr="00874201">
        <w:rPr>
          <w:rFonts w:ascii="Bookman Old Style" w:hAnsi="Bookman Old Style"/>
        </w:rPr>
        <w:t>z 6</w:t>
      </w:r>
      <w:r>
        <w:rPr>
          <w:rFonts w:ascii="Bookman Old Style" w:hAnsi="Bookman Old Style"/>
        </w:rPr>
        <w:t xml:space="preserve"> września </w:t>
      </w:r>
      <w:r w:rsidRPr="00874201">
        <w:rPr>
          <w:rFonts w:ascii="Bookman Old Style" w:hAnsi="Bookman Old Style"/>
        </w:rPr>
        <w:t>2001 r. o dostępie do informacji publicznej (Dz.U. 2018 r.</w:t>
      </w:r>
      <w:r>
        <w:rPr>
          <w:rFonts w:ascii="Bookman Old Style" w:hAnsi="Bookman Old Style"/>
        </w:rPr>
        <w:t xml:space="preserve">, </w:t>
      </w:r>
      <w:r w:rsidRPr="00874201">
        <w:rPr>
          <w:rFonts w:ascii="Bookman Old Style" w:hAnsi="Bookman Old Style"/>
        </w:rPr>
        <w:t>poz. 1330 z</w:t>
      </w:r>
      <w:r>
        <w:rPr>
          <w:rFonts w:ascii="Bookman Old Style" w:hAnsi="Bookman Old Style"/>
        </w:rPr>
        <w:t xml:space="preserve"> </w:t>
      </w:r>
      <w:proofErr w:type="spellStart"/>
      <w:r>
        <w:rPr>
          <w:rFonts w:ascii="Bookman Old Style" w:hAnsi="Bookman Old Style"/>
        </w:rPr>
        <w:t>późn</w:t>
      </w:r>
      <w:proofErr w:type="spellEnd"/>
      <w:r>
        <w:rPr>
          <w:rFonts w:ascii="Bookman Old Style" w:hAnsi="Bookman Old Style"/>
        </w:rPr>
        <w:t>.</w:t>
      </w:r>
      <w:r w:rsidR="00382571">
        <w:rPr>
          <w:rFonts w:ascii="Bookman Old Style" w:hAnsi="Bookman Old Style"/>
        </w:rPr>
        <w:t xml:space="preserve"> </w:t>
      </w:r>
      <w:r w:rsidRPr="00874201">
        <w:rPr>
          <w:rFonts w:ascii="Bookman Old Style" w:hAnsi="Bookman Old Style"/>
        </w:rPr>
        <w:t xml:space="preserve">zm.), po rozpatrzeniu wniosku </w:t>
      </w:r>
      <w:r w:rsidR="000D1DC8">
        <w:rPr>
          <w:rFonts w:ascii="Bookman Old Style" w:hAnsi="Bookman Old Style"/>
        </w:rPr>
        <w:t>Stowarzyszenia Sieć Obywatelska-</w:t>
      </w:r>
      <w:proofErr w:type="spellStart"/>
      <w:r w:rsidR="000D1DC8">
        <w:rPr>
          <w:rFonts w:ascii="Bookman Old Style" w:hAnsi="Bookman Old Style"/>
        </w:rPr>
        <w:t>Watchdog</w:t>
      </w:r>
      <w:proofErr w:type="spellEnd"/>
      <w:r w:rsidR="000D1DC8">
        <w:rPr>
          <w:rFonts w:ascii="Bookman Old Style" w:hAnsi="Bookman Old Style"/>
        </w:rPr>
        <w:t xml:space="preserve"> </w:t>
      </w:r>
      <w:r w:rsidR="00382571">
        <w:rPr>
          <w:rFonts w:ascii="Bookman Old Style" w:hAnsi="Bookman Old Style"/>
        </w:rPr>
        <w:br/>
      </w:r>
      <w:r w:rsidRPr="00874201">
        <w:rPr>
          <w:rFonts w:ascii="Bookman Old Style" w:hAnsi="Bookman Old Style"/>
        </w:rPr>
        <w:t xml:space="preserve">o udostępnienie informacji publicznej w postaci </w:t>
      </w:r>
      <w:r w:rsidR="000D1DC8">
        <w:rPr>
          <w:rFonts w:ascii="Bookman Old Style" w:hAnsi="Bookman Old Style"/>
        </w:rPr>
        <w:t>listy podmiotów</w:t>
      </w:r>
      <w:r w:rsidR="003338F6">
        <w:rPr>
          <w:rFonts w:ascii="Bookman Old Style" w:hAnsi="Bookman Old Style"/>
        </w:rPr>
        <w:t>,</w:t>
      </w:r>
      <w:r w:rsidR="000D1DC8">
        <w:rPr>
          <w:rFonts w:ascii="Bookman Old Style" w:hAnsi="Bookman Old Style"/>
        </w:rPr>
        <w:t xml:space="preserve"> do których trafiło mięso z ubojni w K</w:t>
      </w:r>
      <w:r w:rsidR="00A13915">
        <w:rPr>
          <w:rFonts w:ascii="Bookman Old Style" w:hAnsi="Bookman Old Style"/>
        </w:rPr>
        <w:t>a</w:t>
      </w:r>
      <w:r w:rsidR="000D1DC8">
        <w:rPr>
          <w:rFonts w:ascii="Bookman Old Style" w:hAnsi="Bookman Old Style"/>
        </w:rPr>
        <w:t>linowie w 2018 r.</w:t>
      </w:r>
      <w:r w:rsidR="00F00398">
        <w:rPr>
          <w:rFonts w:ascii="Bookman Old Style" w:hAnsi="Bookman Old Style"/>
        </w:rPr>
        <w:t xml:space="preserve">, które zostało </w:t>
      </w:r>
      <w:r w:rsidR="00FA736C">
        <w:rPr>
          <w:rFonts w:ascii="Bookman Old Style" w:hAnsi="Bookman Old Style"/>
        </w:rPr>
        <w:t>poddane ubojowi</w:t>
      </w:r>
      <w:r w:rsidR="00F00398">
        <w:rPr>
          <w:rFonts w:ascii="Bookman Old Style" w:hAnsi="Bookman Old Style"/>
        </w:rPr>
        <w:t xml:space="preserve"> w dni</w:t>
      </w:r>
      <w:r w:rsidR="00FA736C">
        <w:rPr>
          <w:rFonts w:ascii="Bookman Old Style" w:hAnsi="Bookman Old Style"/>
        </w:rPr>
        <w:t xml:space="preserve">ach </w:t>
      </w:r>
      <w:bookmarkStart w:id="0" w:name="_Hlk3550933"/>
      <w:r w:rsidR="00FA736C">
        <w:rPr>
          <w:rFonts w:ascii="Bookman Old Style" w:hAnsi="Bookman Old Style"/>
        </w:rPr>
        <w:t>10, 11,12 oraz</w:t>
      </w:r>
      <w:r w:rsidR="003338F6">
        <w:rPr>
          <w:rFonts w:ascii="Bookman Old Style" w:hAnsi="Bookman Old Style"/>
        </w:rPr>
        <w:t xml:space="preserve"> </w:t>
      </w:r>
      <w:r w:rsidR="003338F6">
        <w:rPr>
          <w:rFonts w:ascii="Bookman Old Style" w:hAnsi="Bookman Old Style"/>
        </w:rPr>
        <w:br/>
      </w:r>
      <w:r w:rsidR="00FA736C">
        <w:rPr>
          <w:rFonts w:ascii="Bookman Old Style" w:hAnsi="Bookman Old Style"/>
        </w:rPr>
        <w:t>14 stycznia 2019 r.</w:t>
      </w:r>
      <w:bookmarkEnd w:id="0"/>
      <w:r w:rsidR="00FA736C">
        <w:rPr>
          <w:rFonts w:ascii="Bookman Old Style" w:hAnsi="Bookman Old Style"/>
        </w:rPr>
        <w:t xml:space="preserve"> </w:t>
      </w:r>
      <w:r w:rsidR="00F00398">
        <w:rPr>
          <w:rFonts w:ascii="Bookman Old Style" w:hAnsi="Bookman Old Style"/>
        </w:rPr>
        <w:t xml:space="preserve">Główny Lekarz Weterynarii odmawia udzielenia informacji publicznej w przedmiotowym zakresie. </w:t>
      </w:r>
    </w:p>
    <w:p w:rsidR="009B2CD8" w:rsidRDefault="009B2CD8" w:rsidP="009B2CD8">
      <w:pPr>
        <w:spacing w:line="360" w:lineRule="auto"/>
        <w:jc w:val="center"/>
        <w:rPr>
          <w:rFonts w:ascii="Bookman Old Style" w:hAnsi="Bookman Old Style"/>
          <w:b/>
        </w:rPr>
      </w:pPr>
      <w:r w:rsidRPr="009B2CD8">
        <w:rPr>
          <w:rFonts w:ascii="Bookman Old Style" w:hAnsi="Bookman Old Style"/>
          <w:b/>
        </w:rPr>
        <w:t>Uzasadnienie</w:t>
      </w:r>
    </w:p>
    <w:p w:rsidR="009B2CD8" w:rsidRDefault="009B2CD8" w:rsidP="009B2CD8">
      <w:pPr>
        <w:spacing w:after="0" w:line="360" w:lineRule="auto"/>
        <w:jc w:val="both"/>
        <w:rPr>
          <w:rFonts w:ascii="Bookman Old Style" w:hAnsi="Bookman Old Style"/>
        </w:rPr>
      </w:pPr>
      <w:r>
        <w:rPr>
          <w:rFonts w:ascii="Bookman Old Style" w:hAnsi="Bookman Old Style"/>
        </w:rPr>
        <w:tab/>
        <w:t>Strona wnioskiem z dnia 28 lutego 2019 r. wniosła o udzielenie informacji publicznej w postaci listy podmiotów, do których trafiło mięso z ubojni w Kalinowie w 2018 r. do dnia zamknięcia ubojni.</w:t>
      </w:r>
    </w:p>
    <w:p w:rsidR="00874201" w:rsidRDefault="009B2CD8" w:rsidP="00D61610">
      <w:pPr>
        <w:spacing w:after="0" w:line="360" w:lineRule="auto"/>
        <w:jc w:val="both"/>
        <w:rPr>
          <w:rFonts w:ascii="Bookman Old Style" w:hAnsi="Bookman Old Style"/>
        </w:rPr>
      </w:pPr>
      <w:r>
        <w:rPr>
          <w:rFonts w:ascii="Bookman Old Style" w:hAnsi="Bookman Old Style"/>
        </w:rPr>
        <w:tab/>
        <w:t xml:space="preserve">Wskazać należy, że Główny Lekarz Weterynarii posiada informacje </w:t>
      </w:r>
      <w:r w:rsidR="00D61610">
        <w:rPr>
          <w:rFonts w:ascii="Bookman Old Style" w:hAnsi="Bookman Old Style"/>
        </w:rPr>
        <w:t xml:space="preserve">tylko o tych </w:t>
      </w:r>
      <w:r>
        <w:rPr>
          <w:rFonts w:ascii="Bookman Old Style" w:hAnsi="Bookman Old Style"/>
        </w:rPr>
        <w:t xml:space="preserve">podmiotach, które zaopatrzyły się w mięso </w:t>
      </w:r>
      <w:r w:rsidR="00FA736C">
        <w:rPr>
          <w:rFonts w:ascii="Bookman Old Style" w:hAnsi="Bookman Old Style"/>
        </w:rPr>
        <w:t>poddane ubojowi w</w:t>
      </w:r>
      <w:r>
        <w:rPr>
          <w:rFonts w:ascii="Bookman Old Style" w:hAnsi="Bookman Old Style"/>
        </w:rPr>
        <w:t xml:space="preserve"> dni</w:t>
      </w:r>
      <w:r w:rsidR="00FA736C">
        <w:rPr>
          <w:rFonts w:ascii="Bookman Old Style" w:hAnsi="Bookman Old Style"/>
        </w:rPr>
        <w:t xml:space="preserve">ach </w:t>
      </w:r>
      <w:r w:rsidR="00FA736C" w:rsidRPr="00FA736C">
        <w:rPr>
          <w:rFonts w:ascii="Bookman Old Style" w:hAnsi="Bookman Old Style"/>
        </w:rPr>
        <w:t>10, 11,12 oraz</w:t>
      </w:r>
      <w:r w:rsidR="003338F6">
        <w:rPr>
          <w:rFonts w:ascii="Bookman Old Style" w:hAnsi="Bookman Old Style"/>
        </w:rPr>
        <w:br/>
      </w:r>
      <w:r w:rsidR="00FA736C" w:rsidRPr="00FA736C">
        <w:rPr>
          <w:rFonts w:ascii="Bookman Old Style" w:hAnsi="Bookman Old Style"/>
        </w:rPr>
        <w:t>14 stycznia 2019 r.</w:t>
      </w:r>
      <w:r w:rsidR="00FA736C">
        <w:rPr>
          <w:rFonts w:ascii="Bookman Old Style" w:hAnsi="Bookman Old Style"/>
        </w:rPr>
        <w:t xml:space="preserve"> </w:t>
      </w:r>
      <w:r w:rsidR="00D8720D">
        <w:rPr>
          <w:rFonts w:ascii="Bookman Old Style" w:hAnsi="Bookman Old Style"/>
        </w:rPr>
        <w:t xml:space="preserve">w </w:t>
      </w:r>
      <w:r>
        <w:rPr>
          <w:rFonts w:ascii="Bookman Old Style" w:hAnsi="Bookman Old Style"/>
        </w:rPr>
        <w:t>ww. ubojni. Takie i</w:t>
      </w:r>
      <w:r w:rsidR="00D8720D">
        <w:rPr>
          <w:rFonts w:ascii="Bookman Old Style" w:hAnsi="Bookman Old Style"/>
        </w:rPr>
        <w:t>nformacje zawarte są w systemie RASFF (</w:t>
      </w:r>
      <w:proofErr w:type="spellStart"/>
      <w:r w:rsidR="00D8720D" w:rsidRPr="00D8720D">
        <w:rPr>
          <w:rFonts w:ascii="Bookman Old Style" w:hAnsi="Bookman Old Style"/>
        </w:rPr>
        <w:t>Rapid</w:t>
      </w:r>
      <w:proofErr w:type="spellEnd"/>
      <w:r w:rsidR="00D8720D" w:rsidRPr="00D8720D">
        <w:rPr>
          <w:rFonts w:ascii="Bookman Old Style" w:hAnsi="Bookman Old Style"/>
        </w:rPr>
        <w:t xml:space="preserve"> Alert System of Food and </w:t>
      </w:r>
      <w:proofErr w:type="spellStart"/>
      <w:r w:rsidR="00D8720D" w:rsidRPr="00D8720D">
        <w:rPr>
          <w:rFonts w:ascii="Bookman Old Style" w:hAnsi="Bookman Old Style"/>
        </w:rPr>
        <w:t>Feed</w:t>
      </w:r>
      <w:proofErr w:type="spellEnd"/>
      <w:r w:rsidR="00D8720D">
        <w:rPr>
          <w:rFonts w:ascii="Bookman Old Style" w:hAnsi="Bookman Old Style"/>
        </w:rPr>
        <w:t>)</w:t>
      </w:r>
      <w:r w:rsidR="00D61610">
        <w:rPr>
          <w:rFonts w:ascii="Bookman Old Style" w:hAnsi="Bookman Old Style"/>
        </w:rPr>
        <w:t>,</w:t>
      </w:r>
      <w:r w:rsidR="003338F6">
        <w:rPr>
          <w:rFonts w:ascii="Bookman Old Style" w:hAnsi="Bookman Old Style"/>
        </w:rPr>
        <w:t xml:space="preserve"> dla</w:t>
      </w:r>
      <w:r w:rsidR="00D61610">
        <w:rPr>
          <w:rFonts w:ascii="Bookman Old Style" w:hAnsi="Bookman Old Style"/>
        </w:rPr>
        <w:t xml:space="preserve"> którego Główny </w:t>
      </w:r>
      <w:r w:rsidR="003338F6">
        <w:rPr>
          <w:rFonts w:ascii="Bookman Old Style" w:hAnsi="Bookman Old Style"/>
        </w:rPr>
        <w:t>Lekarz</w:t>
      </w:r>
      <w:r w:rsidR="00D61610">
        <w:rPr>
          <w:rFonts w:ascii="Bookman Old Style" w:hAnsi="Bookman Old Style"/>
        </w:rPr>
        <w:t xml:space="preserve"> Weterynarii </w:t>
      </w:r>
      <w:r w:rsidR="003338F6">
        <w:rPr>
          <w:rFonts w:ascii="Bookman Old Style" w:hAnsi="Bookman Old Style"/>
        </w:rPr>
        <w:t>tworzy</w:t>
      </w:r>
      <w:r w:rsidR="00D61610">
        <w:rPr>
          <w:rFonts w:ascii="Bookman Old Style" w:hAnsi="Bookman Old Style"/>
        </w:rPr>
        <w:t xml:space="preserve"> </w:t>
      </w:r>
      <w:r w:rsidR="003338F6">
        <w:rPr>
          <w:rFonts w:ascii="Bookman Old Style" w:hAnsi="Bookman Old Style"/>
        </w:rPr>
        <w:t>podpunkt</w:t>
      </w:r>
      <w:r w:rsidR="00D61610">
        <w:rPr>
          <w:rFonts w:ascii="Bookman Old Style" w:hAnsi="Bookman Old Style"/>
        </w:rPr>
        <w:t xml:space="preserve"> kontaktowy.</w:t>
      </w:r>
    </w:p>
    <w:p w:rsidR="0064041C" w:rsidRDefault="0064041C" w:rsidP="00274DFE">
      <w:pPr>
        <w:spacing w:after="0" w:line="360" w:lineRule="auto"/>
        <w:ind w:firstLine="708"/>
        <w:jc w:val="both"/>
        <w:rPr>
          <w:rFonts w:ascii="Bookman Old Style" w:hAnsi="Bookman Old Style"/>
        </w:rPr>
      </w:pPr>
      <w:r w:rsidRPr="0064041C">
        <w:rPr>
          <w:rFonts w:ascii="Bookman Old Style" w:hAnsi="Bookman Old Style"/>
        </w:rPr>
        <w:t xml:space="preserve">Zważyć należy, że przepis art. 1 ust.1 ustawy o dostępie do informacji publicznej, określa w sposób dość ogólny, że każda informacja o sprawach publicznych stanowi informację publiczną w rozumieniu ustawy i podlega udostępnieniu i ponownemu </w:t>
      </w:r>
      <w:r w:rsidRPr="0064041C">
        <w:rPr>
          <w:rFonts w:ascii="Bookman Old Style" w:hAnsi="Bookman Old Style"/>
        </w:rPr>
        <w:lastRenderedPageBreak/>
        <w:t xml:space="preserve">wykorzystaniu na zasadach i w trybie określonym w niniejszej ustawie. Z kolei zgodnie z art. 1 ust. 2 ustawy o dostępie do informacji publicznej, przepisy tej ustawy nie naruszają przepisów innych ustaw, określających odmienne zasady i tryb dostępu do informacji, będących informacjami publicznymi, pod warunkiem że nie ograniczają obowiązków przekazywania informacji publicznej do centralnego repozytorium informacji publicznej, o którym mowa w art. 9b ust. 1. </w:t>
      </w:r>
      <w:r w:rsidR="00274DFE">
        <w:rPr>
          <w:rFonts w:ascii="Bookman Old Style" w:hAnsi="Bookman Old Style"/>
        </w:rPr>
        <w:t xml:space="preserve">Zgodnie z wyrokiem </w:t>
      </w:r>
      <w:r w:rsidR="00274DFE" w:rsidRPr="00274DFE">
        <w:rPr>
          <w:rFonts w:ascii="Bookman Old Style" w:hAnsi="Bookman Old Style"/>
        </w:rPr>
        <w:t>Wojewódzkiego Sądu Administracyjnego siedzib</w:t>
      </w:r>
      <w:r w:rsidR="00BF3F94">
        <w:rPr>
          <w:rFonts w:ascii="Bookman Old Style" w:hAnsi="Bookman Old Style"/>
        </w:rPr>
        <w:t>ą</w:t>
      </w:r>
      <w:r w:rsidR="00274DFE" w:rsidRPr="00274DFE">
        <w:rPr>
          <w:rFonts w:ascii="Bookman Old Style" w:hAnsi="Bookman Old Style"/>
        </w:rPr>
        <w:t xml:space="preserve"> w Krakowie</w:t>
      </w:r>
      <w:r w:rsidR="00274DFE">
        <w:rPr>
          <w:rFonts w:ascii="Bookman Old Style" w:hAnsi="Bookman Old Style"/>
        </w:rPr>
        <w:t xml:space="preserve"> z dnia </w:t>
      </w:r>
      <w:r w:rsidR="00274DFE" w:rsidRPr="00274DFE">
        <w:rPr>
          <w:rFonts w:ascii="Bookman Old Style" w:hAnsi="Bookman Old Style"/>
        </w:rPr>
        <w:t xml:space="preserve"> 12 grudnia 2017 r.</w:t>
      </w:r>
      <w:r w:rsidR="00BF3F94">
        <w:rPr>
          <w:rFonts w:ascii="Bookman Old Style" w:hAnsi="Bookman Old Style"/>
        </w:rPr>
        <w:t xml:space="preserve"> w sprawie o sygnaturze akt</w:t>
      </w:r>
      <w:r w:rsidR="00274DFE">
        <w:rPr>
          <w:rFonts w:ascii="Bookman Old Style" w:hAnsi="Bookman Old Style"/>
        </w:rPr>
        <w:t xml:space="preserve"> </w:t>
      </w:r>
      <w:r w:rsidR="00274DFE" w:rsidRPr="00274DFE">
        <w:rPr>
          <w:rFonts w:ascii="Bookman Old Style" w:hAnsi="Bookman Old Style"/>
        </w:rPr>
        <w:t>II SAB/Kr 160/17</w:t>
      </w:r>
      <w:r w:rsidR="00274DFE">
        <w:rPr>
          <w:rFonts w:ascii="Bookman Old Style" w:hAnsi="Bookman Old Style"/>
        </w:rPr>
        <w:t xml:space="preserve"> </w:t>
      </w:r>
      <w:r w:rsidR="00BF3F94">
        <w:rPr>
          <w:rFonts w:ascii="Bookman Old Style" w:hAnsi="Bookman Old Style"/>
        </w:rPr>
        <w:t>o</w:t>
      </w:r>
      <w:r w:rsidRPr="0064041C">
        <w:rPr>
          <w:rFonts w:ascii="Bookman Old Style" w:hAnsi="Bookman Old Style"/>
        </w:rPr>
        <w:t>znacza to, że stosowanie przepisów ustawy o dostępie do informacji publicznej jest niedopuszczalne (wyłączone) wówczas, gdy żądane informacje, mające charakter informacji publicznych, mogą być udostępnione w innym trybie. Ustawodawca tym samym zdecydował się na przyznanie prymatu obowiązującym już ustawom, które ograniczają w różnym zakresie dostęp do informacji publicznej oraz takim, które określają szczególny, odrębny od przewidzianego w ustawie o dostępie do informacji publicznej, tryb dostępu do informacji.</w:t>
      </w:r>
    </w:p>
    <w:p w:rsidR="00D61610" w:rsidRDefault="004F2C31" w:rsidP="00EF65DB">
      <w:pPr>
        <w:spacing w:after="0" w:line="360" w:lineRule="auto"/>
        <w:ind w:firstLine="708"/>
        <w:jc w:val="both"/>
        <w:rPr>
          <w:rFonts w:ascii="Bookman Old Style" w:hAnsi="Bookman Old Style"/>
        </w:rPr>
      </w:pPr>
      <w:r>
        <w:rPr>
          <w:rFonts w:ascii="Bookman Old Style" w:hAnsi="Bookman Old Style"/>
        </w:rPr>
        <w:t xml:space="preserve"> </w:t>
      </w:r>
      <w:bookmarkStart w:id="1" w:name="_Hlk3541764"/>
      <w:r w:rsidR="00382571">
        <w:rPr>
          <w:rFonts w:ascii="Bookman Old Style" w:hAnsi="Bookman Old Style"/>
        </w:rPr>
        <w:t>A</w:t>
      </w:r>
      <w:r w:rsidRPr="004F2C31">
        <w:rPr>
          <w:rFonts w:ascii="Bookman Old Style" w:hAnsi="Bookman Old Style"/>
        </w:rPr>
        <w:t>rt. 52 ust. 1 rozporządzenia 178/2002</w:t>
      </w:r>
      <w:r w:rsidRPr="004F2C31">
        <w:t xml:space="preserve"> </w:t>
      </w:r>
      <w:bookmarkEnd w:id="1"/>
      <w:r w:rsidRPr="004F2C31">
        <w:rPr>
          <w:rFonts w:ascii="Bookman Old Style" w:hAnsi="Bookman Old Style"/>
        </w:rPr>
        <w:t>Parlamentu Europejskiego i Rady z dnia 28 stycznia 2002 r. ustanawiające</w:t>
      </w:r>
      <w:r w:rsidR="003338F6">
        <w:rPr>
          <w:rFonts w:ascii="Bookman Old Style" w:hAnsi="Bookman Old Style"/>
        </w:rPr>
        <w:t>go</w:t>
      </w:r>
      <w:r w:rsidRPr="004F2C31">
        <w:rPr>
          <w:rFonts w:ascii="Bookman Old Style" w:hAnsi="Bookman Old Style"/>
        </w:rPr>
        <w:t xml:space="preserve"> ogólne zasady i wymagania prawa żywnościowego, powołujące</w:t>
      </w:r>
      <w:r w:rsidR="003338F6">
        <w:rPr>
          <w:rFonts w:ascii="Bookman Old Style" w:hAnsi="Bookman Old Style"/>
        </w:rPr>
        <w:t>go</w:t>
      </w:r>
      <w:r w:rsidRPr="004F2C31">
        <w:rPr>
          <w:rFonts w:ascii="Bookman Old Style" w:hAnsi="Bookman Old Style"/>
        </w:rPr>
        <w:t xml:space="preserve"> Europejski Urząd ds. Bezpieczeństwa Żywności oraz ustanawiające</w:t>
      </w:r>
      <w:r w:rsidR="003338F6">
        <w:rPr>
          <w:rFonts w:ascii="Bookman Old Style" w:hAnsi="Bookman Old Style"/>
        </w:rPr>
        <w:t>go</w:t>
      </w:r>
      <w:r w:rsidRPr="004F2C31">
        <w:rPr>
          <w:rFonts w:ascii="Bookman Old Style" w:hAnsi="Bookman Old Style"/>
        </w:rPr>
        <w:t xml:space="preserve"> procedury w zakresie bezpieczeństwa żywności (Dz.</w:t>
      </w:r>
      <w:r w:rsidR="00382571">
        <w:rPr>
          <w:rFonts w:ascii="Bookman Old Style" w:hAnsi="Bookman Old Style"/>
        </w:rPr>
        <w:t xml:space="preserve"> </w:t>
      </w:r>
      <w:r w:rsidRPr="004F2C31">
        <w:rPr>
          <w:rFonts w:ascii="Bookman Old Style" w:hAnsi="Bookman Old Style"/>
        </w:rPr>
        <w:t xml:space="preserve">Urz. UE. L 31, z 28 01. 2002 r. str. 1, z </w:t>
      </w:r>
      <w:proofErr w:type="spellStart"/>
      <w:r w:rsidRPr="004F2C31">
        <w:rPr>
          <w:rFonts w:ascii="Bookman Old Style" w:hAnsi="Bookman Old Style"/>
        </w:rPr>
        <w:t>późn</w:t>
      </w:r>
      <w:proofErr w:type="spellEnd"/>
      <w:r w:rsidRPr="004F2C31">
        <w:rPr>
          <w:rFonts w:ascii="Bookman Old Style" w:hAnsi="Bookman Old Style"/>
        </w:rPr>
        <w:t>. zm.)</w:t>
      </w:r>
      <w:r w:rsidR="003338F6">
        <w:rPr>
          <w:rFonts w:ascii="Bookman Old Style" w:hAnsi="Bookman Old Style"/>
        </w:rPr>
        <w:t xml:space="preserve"> określa reguły poufności </w:t>
      </w:r>
      <w:r w:rsidR="00382571" w:rsidRPr="00382571">
        <w:rPr>
          <w:rFonts w:ascii="Bookman Old Style" w:hAnsi="Bookman Old Style"/>
        </w:rPr>
        <w:t>dla systemu wczesnego ostrzegania</w:t>
      </w:r>
      <w:r w:rsidR="00382571">
        <w:rPr>
          <w:rFonts w:ascii="Bookman Old Style" w:hAnsi="Bookman Old Style"/>
        </w:rPr>
        <w:t xml:space="preserve"> obowiązujące</w:t>
      </w:r>
      <w:r w:rsidR="003338F6">
        <w:rPr>
          <w:rFonts w:ascii="Bookman Old Style" w:hAnsi="Bookman Old Style"/>
        </w:rPr>
        <w:t xml:space="preserve"> pracowników właściwych organów, w tym również dla</w:t>
      </w:r>
      <w:r w:rsidRPr="004F2C31">
        <w:rPr>
          <w:rFonts w:ascii="Bookman Old Style" w:hAnsi="Bookman Old Style"/>
        </w:rPr>
        <w:t xml:space="preserve"> </w:t>
      </w:r>
      <w:r w:rsidR="003338F6">
        <w:rPr>
          <w:rFonts w:ascii="Bookman Old Style" w:hAnsi="Bookman Old Style"/>
        </w:rPr>
        <w:t>pracowników Inspekcji Weterynaryjnej</w:t>
      </w:r>
      <w:r w:rsidR="00382571">
        <w:rPr>
          <w:rFonts w:ascii="Bookman Old Style" w:hAnsi="Bookman Old Style"/>
        </w:rPr>
        <w:t>. Zgodnie z ww. przepisem</w:t>
      </w:r>
      <w:r w:rsidRPr="004F2C31">
        <w:rPr>
          <w:rFonts w:ascii="Bookman Old Style" w:hAnsi="Bookman Old Style"/>
        </w:rPr>
        <w:t xml:space="preserve"> informacje dostępne dla członków sieci, odnoszące się do ryzyka grożącego zdrowiu ludzkiemu z powodu żywności lub pasz, generalnie są dostępne do wiadomości publicznej, zgodnie z zasadą informowania zawartą w art. 10. W ogólności społeczeństwo posiada dostęp do informacji na temat identyfikacji produktu, natury ryzyka i podjętym środku. Jednakże, członkowie sieci podejmują kroki, aby zagwarantować, że członkowie ich personelu nie ujawnią informacji uzyskanych do ujętych celów niniejszej sekcji, które ze swej natury są objęte tajemnicą zawodową we właściwie uzasadnionych przypadkach, z wyjątkiem informacji, które muszą być ogłoszone, jeżeli wymagają tego okoliczności, w celu ochrony zdrowia ludzkiego.</w:t>
      </w:r>
    </w:p>
    <w:p w:rsidR="0092713A" w:rsidRDefault="0092713A" w:rsidP="00EF65DB">
      <w:pPr>
        <w:spacing w:after="0" w:line="360" w:lineRule="auto"/>
        <w:ind w:firstLine="708"/>
        <w:jc w:val="both"/>
        <w:rPr>
          <w:rFonts w:ascii="Bookman Old Style" w:hAnsi="Bookman Old Style"/>
        </w:rPr>
      </w:pPr>
      <w:r>
        <w:rPr>
          <w:rFonts w:ascii="Bookman Old Style" w:hAnsi="Bookman Old Style"/>
        </w:rPr>
        <w:t>Mając na uwadze powyższe, ujawnieniu podlegają tylko informacje wymienione w ww. przepisie, a mianowicie dotyczące identyfikowalności produktu, natury ryzyka i podjętych środkach</w:t>
      </w:r>
      <w:r w:rsidR="00A13915">
        <w:rPr>
          <w:rFonts w:ascii="Bookman Old Style" w:hAnsi="Bookman Old Style"/>
        </w:rPr>
        <w:t>, chyba że ujawnienie dodatkowych informacji wymagają okoliczności mające na celu ochronę zdrowia</w:t>
      </w:r>
      <w:r>
        <w:rPr>
          <w:rFonts w:ascii="Bookman Old Style" w:hAnsi="Bookman Old Style"/>
        </w:rPr>
        <w:t>. Natomiast listy dystrybucyjne, o które wnioskuje strona nie mieszczą się w informacji, któr</w:t>
      </w:r>
      <w:r w:rsidR="000233C2">
        <w:rPr>
          <w:rFonts w:ascii="Bookman Old Style" w:hAnsi="Bookman Old Style"/>
        </w:rPr>
        <w:t>ą</w:t>
      </w:r>
      <w:r>
        <w:rPr>
          <w:rFonts w:ascii="Bookman Old Style" w:hAnsi="Bookman Old Style"/>
        </w:rPr>
        <w:t xml:space="preserve"> organ może udzielić</w:t>
      </w:r>
      <w:r w:rsidR="00A13915">
        <w:rPr>
          <w:rFonts w:ascii="Bookman Old Style" w:hAnsi="Bookman Old Style"/>
        </w:rPr>
        <w:t xml:space="preserve">, a za ich ujawnieniem nie przemawiają inne wymienione wyżej okoliczności. </w:t>
      </w:r>
      <w:r>
        <w:rPr>
          <w:rFonts w:ascii="Bookman Old Style" w:hAnsi="Bookman Old Style"/>
        </w:rPr>
        <w:t xml:space="preserve"> </w:t>
      </w:r>
    </w:p>
    <w:p w:rsidR="0064041C" w:rsidRDefault="00274DFE" w:rsidP="00274DFE">
      <w:pPr>
        <w:spacing w:after="0" w:line="360" w:lineRule="auto"/>
        <w:ind w:firstLine="708"/>
        <w:jc w:val="both"/>
        <w:rPr>
          <w:rFonts w:ascii="Bookman Old Style" w:hAnsi="Bookman Old Style"/>
        </w:rPr>
      </w:pPr>
      <w:r>
        <w:rPr>
          <w:rFonts w:ascii="Bookman Old Style" w:hAnsi="Bookman Old Style"/>
        </w:rPr>
        <w:lastRenderedPageBreak/>
        <w:t xml:space="preserve">Kolejną regulacją, która przewiduje odrębny tryb udzielania informacji publicznej jest </w:t>
      </w:r>
      <w:r>
        <w:rPr>
          <w:rFonts w:ascii="Bookman Old Style" w:hAnsi="Bookman Old Style"/>
        </w:rPr>
        <w:t>ustaw</w:t>
      </w:r>
      <w:r>
        <w:rPr>
          <w:rFonts w:ascii="Bookman Old Style" w:hAnsi="Bookman Old Style"/>
        </w:rPr>
        <w:t>a</w:t>
      </w:r>
      <w:r>
        <w:rPr>
          <w:rFonts w:ascii="Bookman Old Style" w:hAnsi="Bookman Old Style"/>
        </w:rPr>
        <w:t xml:space="preserve"> </w:t>
      </w:r>
      <w:r w:rsidRPr="0064041C">
        <w:rPr>
          <w:rFonts w:ascii="Bookman Old Style" w:hAnsi="Bookman Old Style"/>
        </w:rPr>
        <w:t>z dnia 6 czerwca 1997 r.</w:t>
      </w:r>
      <w:r w:rsidRPr="0064041C">
        <w:t xml:space="preserve"> </w:t>
      </w:r>
      <w:r w:rsidRPr="0064041C">
        <w:rPr>
          <w:rFonts w:ascii="Bookman Old Style" w:hAnsi="Bookman Old Style"/>
        </w:rPr>
        <w:t xml:space="preserve">Kodeks </w:t>
      </w:r>
      <w:r>
        <w:rPr>
          <w:rFonts w:ascii="Bookman Old Style" w:hAnsi="Bookman Old Style"/>
        </w:rPr>
        <w:t>p</w:t>
      </w:r>
      <w:r w:rsidRPr="0064041C">
        <w:rPr>
          <w:rFonts w:ascii="Bookman Old Style" w:hAnsi="Bookman Old Style"/>
        </w:rPr>
        <w:t xml:space="preserve">ostępowania </w:t>
      </w:r>
      <w:r>
        <w:rPr>
          <w:rFonts w:ascii="Bookman Old Style" w:hAnsi="Bookman Old Style"/>
        </w:rPr>
        <w:t>k</w:t>
      </w:r>
      <w:r w:rsidRPr="0064041C">
        <w:rPr>
          <w:rFonts w:ascii="Bookman Old Style" w:hAnsi="Bookman Old Style"/>
        </w:rPr>
        <w:t>arnego</w:t>
      </w:r>
      <w:r>
        <w:rPr>
          <w:rFonts w:ascii="Bookman Old Style" w:hAnsi="Bookman Old Style"/>
        </w:rPr>
        <w:t xml:space="preserve"> (</w:t>
      </w:r>
      <w:r w:rsidRPr="0064041C">
        <w:rPr>
          <w:rFonts w:ascii="Bookman Old Style" w:hAnsi="Bookman Old Style"/>
        </w:rPr>
        <w:t>Dz.U. z 2018 r. poz. 1987</w:t>
      </w:r>
      <w:r>
        <w:rPr>
          <w:rFonts w:ascii="Bookman Old Style" w:hAnsi="Bookman Old Style"/>
        </w:rPr>
        <w:t xml:space="preserve">, z </w:t>
      </w:r>
      <w:proofErr w:type="spellStart"/>
      <w:r>
        <w:rPr>
          <w:rFonts w:ascii="Bookman Old Style" w:hAnsi="Bookman Old Style"/>
        </w:rPr>
        <w:t>późn</w:t>
      </w:r>
      <w:proofErr w:type="spellEnd"/>
      <w:r>
        <w:rPr>
          <w:rFonts w:ascii="Bookman Old Style" w:hAnsi="Bookman Old Style"/>
        </w:rPr>
        <w:t>. zm.)</w:t>
      </w:r>
      <w:r w:rsidR="0064041C" w:rsidRPr="0064041C">
        <w:rPr>
          <w:rFonts w:ascii="Bookman Old Style" w:hAnsi="Bookman Old Style"/>
        </w:rPr>
        <w:t>, która w art. 156 § 5 i § 5a przewiduje zasady, tryb i formę udostępnienia akt postępowania przygotowawczego</w:t>
      </w:r>
      <w:r>
        <w:rPr>
          <w:rFonts w:ascii="Bookman Old Style" w:hAnsi="Bookman Old Style"/>
        </w:rPr>
        <w:t>, czyli</w:t>
      </w:r>
      <w:r w:rsidR="0064041C" w:rsidRPr="0064041C">
        <w:rPr>
          <w:rFonts w:ascii="Bookman Old Style" w:hAnsi="Bookman Old Style"/>
        </w:rPr>
        <w:t xml:space="preserve"> określonych informacji publicznych, tj. zawartych w aktach spraw prowadzonych przez prokuraturę.</w:t>
      </w:r>
      <w:r>
        <w:rPr>
          <w:rFonts w:ascii="Bookman Old Style" w:hAnsi="Bookman Old Style"/>
        </w:rPr>
        <w:t xml:space="preserve"> Natomiast </w:t>
      </w:r>
      <w:r w:rsidRPr="00274DFE">
        <w:rPr>
          <w:rFonts w:ascii="Bookman Old Style" w:hAnsi="Bookman Old Style"/>
        </w:rPr>
        <w:t>w sprawie przedmiotowej rzeźni Prokuratura Okręgowa w Ostrowi Mazowieckiej prowadzi postępowanie karne pod sygnaturą PO I Ds. 7.2019, a listy dystrybucyjne stanowią jedne z przekazanych inform</w:t>
      </w:r>
      <w:bookmarkStart w:id="2" w:name="_GoBack"/>
      <w:bookmarkEnd w:id="2"/>
      <w:r w:rsidRPr="00274DFE">
        <w:rPr>
          <w:rFonts w:ascii="Bookman Old Style" w:hAnsi="Bookman Old Style"/>
        </w:rPr>
        <w:t>acji i jako takie są włączone w akta postępowania przygotowawczego</w:t>
      </w:r>
      <w:r w:rsidR="00382571">
        <w:rPr>
          <w:rFonts w:ascii="Bookman Old Style" w:hAnsi="Bookman Old Style"/>
        </w:rPr>
        <w:t>.</w:t>
      </w:r>
      <w:r>
        <w:rPr>
          <w:rFonts w:ascii="Bookman Old Style" w:hAnsi="Bookman Old Style"/>
        </w:rPr>
        <w:t xml:space="preserve"> </w:t>
      </w:r>
      <w:r w:rsidR="0064041C" w:rsidRPr="0064041C">
        <w:rPr>
          <w:rFonts w:ascii="Bookman Old Style" w:hAnsi="Bookman Old Style"/>
        </w:rPr>
        <w:t xml:space="preserve"> </w:t>
      </w:r>
      <w:r>
        <w:rPr>
          <w:rFonts w:ascii="Bookman Old Style" w:hAnsi="Bookman Old Style"/>
        </w:rPr>
        <w:t>Natomiast</w:t>
      </w:r>
      <w:r w:rsidR="0064041C" w:rsidRPr="0064041C">
        <w:rPr>
          <w:rFonts w:ascii="Bookman Old Style" w:hAnsi="Bookman Old Style"/>
        </w:rPr>
        <w:t xml:space="preserve"> w myśl art. 156 § 5</w:t>
      </w:r>
      <w:r>
        <w:rPr>
          <w:rFonts w:ascii="Bookman Old Style" w:hAnsi="Bookman Old Style"/>
        </w:rPr>
        <w:t xml:space="preserve"> </w:t>
      </w:r>
      <w:proofErr w:type="spellStart"/>
      <w:r>
        <w:rPr>
          <w:rFonts w:ascii="Bookman Old Style" w:hAnsi="Bookman Old Style"/>
        </w:rPr>
        <w:t>kpk</w:t>
      </w:r>
      <w:proofErr w:type="spellEnd"/>
      <w:r w:rsidR="0064041C" w:rsidRPr="0064041C">
        <w:rPr>
          <w:rFonts w:ascii="Bookman Old Style" w:hAnsi="Bookman Old Style"/>
        </w:rPr>
        <w:t>, zasadą jest, że w toku postępowania przygotowawczego, tylko stronom, obrońcom, pełnomocnikom i przedstawicielom ustawowym udostępnia się akta, umożliwia sporządzanie odpisów i kopii oraz wydaje odpłatnie uwierzytelnione odpisy lub kopie. Jedynie za zgodą prokuratora akta w toku postępowania przygotowawczego mogą być w wyjątkowych wypadkach udostępnione także innym osobom.</w:t>
      </w:r>
      <w:r>
        <w:rPr>
          <w:rFonts w:ascii="Bookman Old Style" w:hAnsi="Bookman Old Style"/>
        </w:rPr>
        <w:t xml:space="preserve"> </w:t>
      </w:r>
      <w:r w:rsidR="0064041C" w:rsidRPr="0064041C">
        <w:rPr>
          <w:rFonts w:ascii="Bookman Old Style" w:hAnsi="Bookman Old Style"/>
        </w:rPr>
        <w:t xml:space="preserve">Tak więc, jeżeli postępowanie karne nie jest zakończone, to wgląd do akt sprawy w toku postępowania przygotowawczego podlega rygorom art. 156 § 5 </w:t>
      </w:r>
      <w:proofErr w:type="spellStart"/>
      <w:r>
        <w:rPr>
          <w:rFonts w:ascii="Bookman Old Style" w:hAnsi="Bookman Old Style"/>
        </w:rPr>
        <w:t>kpk</w:t>
      </w:r>
      <w:proofErr w:type="spellEnd"/>
      <w:r>
        <w:rPr>
          <w:rFonts w:ascii="Bookman Old Style" w:hAnsi="Bookman Old Style"/>
        </w:rPr>
        <w:t>.</w:t>
      </w:r>
    </w:p>
    <w:p w:rsidR="00BB588B" w:rsidRDefault="00BB588B" w:rsidP="00F62AB6">
      <w:pPr>
        <w:spacing w:after="0" w:line="360" w:lineRule="auto"/>
        <w:ind w:firstLine="708"/>
        <w:jc w:val="both"/>
        <w:rPr>
          <w:rFonts w:ascii="Bookman Old Style" w:hAnsi="Bookman Old Style"/>
        </w:rPr>
      </w:pPr>
      <w:r>
        <w:rPr>
          <w:rFonts w:ascii="Bookman Old Style" w:hAnsi="Bookman Old Style"/>
        </w:rPr>
        <w:t>Mając na uwadze powyższe należało orzec jak w rozstrzygnięciu.</w:t>
      </w:r>
    </w:p>
    <w:p w:rsidR="001020DE" w:rsidRPr="001020DE" w:rsidRDefault="001020DE" w:rsidP="001020DE">
      <w:pPr>
        <w:spacing w:line="360" w:lineRule="auto"/>
        <w:jc w:val="center"/>
        <w:rPr>
          <w:rFonts w:ascii="Bookman Old Style" w:hAnsi="Bookman Old Style"/>
          <w:b/>
        </w:rPr>
      </w:pPr>
      <w:r w:rsidRPr="001020DE">
        <w:rPr>
          <w:rFonts w:ascii="Bookman Old Style" w:hAnsi="Bookman Old Style"/>
          <w:b/>
        </w:rPr>
        <w:t>Pouczenie</w:t>
      </w:r>
    </w:p>
    <w:p w:rsidR="001020DE" w:rsidRPr="001020DE" w:rsidRDefault="001020DE" w:rsidP="001020DE">
      <w:pPr>
        <w:spacing w:after="0" w:line="360" w:lineRule="auto"/>
        <w:ind w:firstLine="708"/>
        <w:jc w:val="both"/>
        <w:rPr>
          <w:rFonts w:ascii="Bookman Old Style" w:hAnsi="Bookman Old Style"/>
        </w:rPr>
      </w:pPr>
      <w:r w:rsidRPr="001020DE">
        <w:rPr>
          <w:rFonts w:ascii="Bookman Old Style" w:hAnsi="Bookman Old Style"/>
        </w:rPr>
        <w:t>Strona niezadowolona z decyzji może zwrócić się do Głównego Lekarza W</w:t>
      </w:r>
      <w:r w:rsidR="00FA736C">
        <w:rPr>
          <w:rFonts w:ascii="Bookman Old Style" w:hAnsi="Bookman Old Style"/>
        </w:rPr>
        <w:t xml:space="preserve">eterynarii </w:t>
      </w:r>
      <w:r w:rsidRPr="001020DE">
        <w:rPr>
          <w:rFonts w:ascii="Bookman Old Style" w:hAnsi="Bookman Old Style"/>
        </w:rPr>
        <w:t xml:space="preserve">z wnioskiem o ponowne rozpatrzenie sprawy w terminie 14 dni od dnia jej doręczenia. </w:t>
      </w:r>
    </w:p>
    <w:p w:rsidR="001020DE" w:rsidRPr="001020DE" w:rsidRDefault="001020DE" w:rsidP="001020DE">
      <w:pPr>
        <w:spacing w:after="0" w:line="360" w:lineRule="auto"/>
        <w:ind w:firstLine="708"/>
        <w:jc w:val="both"/>
        <w:rPr>
          <w:rFonts w:ascii="Bookman Old Style" w:hAnsi="Bookman Old Style"/>
        </w:rPr>
      </w:pPr>
      <w:r w:rsidRPr="001020DE">
        <w:rPr>
          <w:rFonts w:ascii="Bookman Old Style" w:hAnsi="Bookman Old Style"/>
        </w:rPr>
        <w:t>Jednocześnie Strona może wnieść skargę na niniejszą decyzję bez skorzystania z prawa do zwrócenia się do organu, który wydał decyzję, z wnioskiem o ponowne rozpatrzenie sprawy. W tej sytuacji Strona może złożyć skargę do Wojewódzkiego Sądu Administracyjnego w Warszawie. Skargę składa się za pośrednictwem Głównego Lekarza Weterynarii w terminie 30 dni od dnia doręczenia niniejszej decyzji.</w:t>
      </w:r>
    </w:p>
    <w:p w:rsidR="001020DE" w:rsidRPr="001020DE" w:rsidRDefault="001020DE" w:rsidP="001020DE">
      <w:pPr>
        <w:spacing w:after="0" w:line="360" w:lineRule="auto"/>
        <w:ind w:firstLine="708"/>
        <w:jc w:val="both"/>
        <w:rPr>
          <w:rFonts w:ascii="Bookman Old Style" w:hAnsi="Bookman Old Style"/>
        </w:rPr>
      </w:pPr>
      <w:r w:rsidRPr="001020DE">
        <w:rPr>
          <w:rFonts w:ascii="Bookman Old Style" w:hAnsi="Bookman Old Style"/>
        </w:rPr>
        <w:t xml:space="preserve">Zgodnie z § 2 ust. 1 pkt 2 rozporządzenia Rady Ministrów  z dnia 16 grudnia 2003 r. w sprawie wysokości oraz szczegółowych zasad pobierania wpisu w postępowaniu przed sądami administracyjnymi (Dz.U. z 2003 r. Nr. 221 poz. 2193 z </w:t>
      </w:r>
      <w:proofErr w:type="spellStart"/>
      <w:r w:rsidRPr="001020DE">
        <w:rPr>
          <w:rFonts w:ascii="Bookman Old Style" w:hAnsi="Bookman Old Style"/>
        </w:rPr>
        <w:t>późn</w:t>
      </w:r>
      <w:proofErr w:type="spellEnd"/>
      <w:r w:rsidRPr="001020DE">
        <w:rPr>
          <w:rFonts w:ascii="Bookman Old Style" w:hAnsi="Bookman Old Style"/>
        </w:rPr>
        <w:t>. zm.) wpis stały bez względu na przedmiot zaskarżonego aktu lub czynności wynosi w sprawach skarg na akty lub czynności z zakresu administracji publicznej dotyczące uprawnień lub obowiązków wynikających z przepisów prawa wynosi 200 zł.</w:t>
      </w:r>
    </w:p>
    <w:p w:rsidR="00874201" w:rsidRDefault="001020DE" w:rsidP="001020DE">
      <w:pPr>
        <w:spacing w:after="0" w:line="360" w:lineRule="auto"/>
        <w:ind w:firstLine="708"/>
        <w:jc w:val="both"/>
        <w:rPr>
          <w:rFonts w:ascii="Bookman Old Style" w:hAnsi="Bookman Old Style"/>
        </w:rPr>
      </w:pPr>
      <w:r w:rsidRPr="001020DE">
        <w:rPr>
          <w:rFonts w:ascii="Bookman Old Style" w:hAnsi="Bookman Old Style"/>
        </w:rPr>
        <w:t xml:space="preserve">Strona może złożyć wniosek o udzielenie prawa pomocy. Prawo pomocy obejmuje zwolnienie od kosztów sądowych oraz ustanowienie adwokata, radcy prawnego, doradcy podatkowego lub rzecznika patentowego. Wniosek może być złożony przed wszczęciem lub w toku postępowania sądowego. Wniosek ten wolny jest od opłat sądowych. Wniosek składa się na urzędowym formularzu według ustalonego wzoru w rozporządzeniu Rady </w:t>
      </w:r>
      <w:r w:rsidRPr="001020DE">
        <w:rPr>
          <w:rFonts w:ascii="Bookman Old Style" w:hAnsi="Bookman Old Style"/>
        </w:rPr>
        <w:lastRenderedPageBreak/>
        <w:t xml:space="preserve">Ministrów z dnia 19 sierpnia 2015 r. w sprawie określenia wzoru i sposobu udostępniania urzędowego formularza wniosku o przyznanie prawa pomocy w postępowaniu przed sądami administracyjnymi oraz sposobu dokumentowania stanu majątkowego, dochodów lub stanu rodzinnego wnioskodawcy (Dz. U. z 2015 r., poz. 1257, z </w:t>
      </w:r>
      <w:proofErr w:type="spellStart"/>
      <w:r w:rsidRPr="001020DE">
        <w:rPr>
          <w:rFonts w:ascii="Bookman Old Style" w:hAnsi="Bookman Old Style"/>
        </w:rPr>
        <w:t>późn</w:t>
      </w:r>
      <w:proofErr w:type="spellEnd"/>
      <w:r w:rsidRPr="001020DE">
        <w:rPr>
          <w:rFonts w:ascii="Bookman Old Style" w:hAnsi="Bookman Old Style"/>
        </w:rPr>
        <w:t>. zm.).</w:t>
      </w:r>
    </w:p>
    <w:p w:rsidR="00AC3CFE" w:rsidRDefault="00AC3CFE" w:rsidP="00D0666E">
      <w:pPr>
        <w:spacing w:line="360" w:lineRule="auto"/>
        <w:ind w:firstLine="708"/>
        <w:jc w:val="both"/>
        <w:rPr>
          <w:rFonts w:ascii="Bookman Old Style" w:hAnsi="Bookman Old Style"/>
        </w:rPr>
      </w:pPr>
    </w:p>
    <w:p w:rsidR="0032147D" w:rsidRPr="000429B8" w:rsidRDefault="00AD2265" w:rsidP="003A0541">
      <w:pPr>
        <w:spacing w:after="0"/>
        <w:ind w:firstLine="5529"/>
        <w:outlineLvl w:val="0"/>
        <w:rPr>
          <w:rFonts w:ascii="Bookman Old Style" w:hAnsi="Bookman Old Style" w:cs="Bookman Old Style"/>
          <w:szCs w:val="24"/>
        </w:rPr>
      </w:pPr>
      <w:r>
        <w:rPr>
          <w:rFonts w:ascii="Bookman Old Style" w:hAnsi="Bookman Old Style" w:cs="Bookman Old Style"/>
          <w:szCs w:val="24"/>
        </w:rPr>
        <w:t>Paweł Niemczuk</w:t>
      </w:r>
    </w:p>
    <w:p w:rsidR="00AC3CFE" w:rsidRPr="00AC3CFE" w:rsidRDefault="000429B8" w:rsidP="003A0541">
      <w:pPr>
        <w:spacing w:after="0"/>
        <w:ind w:firstLine="5529"/>
        <w:outlineLvl w:val="0"/>
        <w:rPr>
          <w:rFonts w:ascii="Bookman Old Style" w:hAnsi="Bookman Old Style" w:cs="Bookman Old Style"/>
          <w:sz w:val="18"/>
          <w:szCs w:val="24"/>
        </w:rPr>
      </w:pPr>
      <w:r w:rsidRPr="00D871E1">
        <w:rPr>
          <w:rFonts w:ascii="Bookman Old Style" w:hAnsi="Bookman Old Style" w:cs="Bookman Old Style"/>
          <w:sz w:val="20"/>
          <w:szCs w:val="24"/>
        </w:rPr>
        <w:t>/podpisano elektronicznie/</w:t>
      </w:r>
    </w:p>
    <w:sectPr w:rsidR="00AC3CFE" w:rsidRPr="00AC3CFE" w:rsidSect="00AC3CFE">
      <w:footerReference w:type="default" r:id="rId8"/>
      <w:footerReference w:type="first" r:id="rId9"/>
      <w:pgSz w:w="11906" w:h="16838"/>
      <w:pgMar w:top="1079" w:right="1134" w:bottom="1418" w:left="1134" w:header="964" w:footer="1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1A2D" w:rsidRDefault="00A21A2D" w:rsidP="00330FFE">
      <w:pPr>
        <w:spacing w:after="0" w:line="240" w:lineRule="auto"/>
        <w:rPr>
          <w:rFonts w:cs="Times New Roman"/>
        </w:rPr>
      </w:pPr>
      <w:r>
        <w:rPr>
          <w:rFonts w:cs="Times New Roman"/>
        </w:rPr>
        <w:separator/>
      </w:r>
    </w:p>
  </w:endnote>
  <w:endnote w:type="continuationSeparator" w:id="0">
    <w:p w:rsidR="00A21A2D" w:rsidRDefault="00A21A2D" w:rsidP="00330FFE">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70" w:type="dxa"/>
      <w:tblBorders>
        <w:top w:val="dotDotDash" w:sz="4" w:space="0" w:color="auto"/>
      </w:tblBorders>
      <w:tblLook w:val="04A0" w:firstRow="1" w:lastRow="0" w:firstColumn="1" w:lastColumn="0" w:noHBand="0" w:noVBand="1"/>
    </w:tblPr>
    <w:tblGrid>
      <w:gridCol w:w="1418"/>
      <w:gridCol w:w="8352"/>
    </w:tblGrid>
    <w:tr w:rsidR="00D451FD" w:rsidTr="00E46763">
      <w:trPr>
        <w:trHeight w:val="139"/>
      </w:trPr>
      <w:tc>
        <w:tcPr>
          <w:tcW w:w="9770" w:type="dxa"/>
          <w:gridSpan w:val="2"/>
          <w:tcBorders>
            <w:bottom w:val="nil"/>
          </w:tcBorders>
          <w:shd w:val="clear" w:color="auto" w:fill="auto"/>
        </w:tcPr>
        <w:p w:rsidR="00D451FD" w:rsidRPr="00E46763" w:rsidRDefault="00D451FD" w:rsidP="00E46763">
          <w:pPr>
            <w:tabs>
              <w:tab w:val="center" w:pos="4819"/>
              <w:tab w:val="right" w:pos="9638"/>
            </w:tabs>
            <w:spacing w:after="0" w:line="240" w:lineRule="auto"/>
            <w:jc w:val="center"/>
            <w:rPr>
              <w:rFonts w:cs="Times New Roman"/>
              <w:lang w:val="fr-FR"/>
            </w:rPr>
          </w:pPr>
          <w:r w:rsidRPr="00E46763">
            <w:rPr>
              <w:rFonts w:ascii="Bookman Old Style" w:hAnsi="Bookman Old Style" w:cs="Bookman Old Style"/>
              <w:sz w:val="20"/>
              <w:szCs w:val="18"/>
              <w:lang w:val="fr-FR"/>
            </w:rPr>
            <w:fldChar w:fldCharType="begin"/>
          </w:r>
          <w:r w:rsidRPr="00E46763">
            <w:rPr>
              <w:rFonts w:ascii="Bookman Old Style" w:hAnsi="Bookman Old Style" w:cs="Bookman Old Style"/>
              <w:sz w:val="20"/>
              <w:szCs w:val="18"/>
              <w:lang w:val="fr-FR"/>
            </w:rPr>
            <w:instrText xml:space="preserve"> PAGE  \* ArabicDash  \* MERGEFORMAT </w:instrText>
          </w:r>
          <w:r w:rsidRPr="00E46763">
            <w:rPr>
              <w:rFonts w:ascii="Bookman Old Style" w:hAnsi="Bookman Old Style" w:cs="Bookman Old Style"/>
              <w:sz w:val="20"/>
              <w:szCs w:val="18"/>
              <w:lang w:val="fr-FR"/>
            </w:rPr>
            <w:fldChar w:fldCharType="separate"/>
          </w:r>
          <w:r w:rsidR="00D169BB">
            <w:rPr>
              <w:rFonts w:ascii="Bookman Old Style" w:hAnsi="Bookman Old Style" w:cs="Bookman Old Style"/>
              <w:noProof/>
              <w:sz w:val="20"/>
              <w:szCs w:val="18"/>
              <w:lang w:val="fr-FR"/>
            </w:rPr>
            <w:t>- 2 -</w:t>
          </w:r>
          <w:r w:rsidRPr="00E46763">
            <w:rPr>
              <w:rFonts w:ascii="Bookman Old Style" w:hAnsi="Bookman Old Style" w:cs="Bookman Old Style"/>
              <w:sz w:val="20"/>
              <w:szCs w:val="18"/>
              <w:lang w:val="fr-FR"/>
            </w:rPr>
            <w:fldChar w:fldCharType="end"/>
          </w:r>
        </w:p>
      </w:tc>
    </w:tr>
    <w:tr w:rsidR="00D451FD" w:rsidTr="00D169BB">
      <w:trPr>
        <w:trHeight w:val="340"/>
      </w:trPr>
      <w:tc>
        <w:tcPr>
          <w:tcW w:w="1418" w:type="dxa"/>
          <w:vMerge w:val="restart"/>
          <w:tcBorders>
            <w:top w:val="nil"/>
            <w:right w:val="single" w:sz="4" w:space="0" w:color="auto"/>
          </w:tcBorders>
          <w:shd w:val="clear" w:color="auto" w:fill="auto"/>
        </w:tcPr>
        <w:p w:rsidR="00D451FD" w:rsidRDefault="0033481A" w:rsidP="00D169BB">
          <w:pPr>
            <w:spacing w:after="0"/>
            <w:jc w:val="center"/>
            <w:rPr>
              <w:noProof/>
              <w:lang w:eastAsia="pl-PL"/>
            </w:rPr>
          </w:pPr>
          <w:r w:rsidRPr="00D07A76">
            <w:rPr>
              <w:noProof/>
              <w:lang w:eastAsia="pl-PL"/>
            </w:rPr>
            <w:drawing>
              <wp:inline distT="0" distB="0" distL="0" distR="0">
                <wp:extent cx="657225" cy="5619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561975"/>
                        </a:xfrm>
                        <a:prstGeom prst="rect">
                          <a:avLst/>
                        </a:prstGeom>
                        <a:noFill/>
                        <a:ln>
                          <a:noFill/>
                        </a:ln>
                      </pic:spPr>
                    </pic:pic>
                  </a:graphicData>
                </a:graphic>
              </wp:inline>
            </w:drawing>
          </w:r>
        </w:p>
      </w:tc>
      <w:tc>
        <w:tcPr>
          <w:tcW w:w="8352" w:type="dxa"/>
          <w:tcBorders>
            <w:top w:val="nil"/>
            <w:left w:val="single" w:sz="4" w:space="0" w:color="auto"/>
          </w:tcBorders>
          <w:shd w:val="clear" w:color="auto" w:fill="auto"/>
        </w:tcPr>
        <w:p w:rsidR="00D451FD" w:rsidRPr="00E46763" w:rsidRDefault="00D451FD" w:rsidP="00E46763">
          <w:pPr>
            <w:spacing w:before="120" w:after="0"/>
            <w:rPr>
              <w:rFonts w:ascii="Bookman Old Style" w:hAnsi="Bookman Old Style" w:cs="Bookman Old Style"/>
              <w:spacing w:val="20"/>
              <w:szCs w:val="18"/>
            </w:rPr>
          </w:pPr>
          <w:r w:rsidRPr="00E46763">
            <w:rPr>
              <w:rFonts w:ascii="Bookman Old Style" w:hAnsi="Bookman Old Style" w:cs="Bookman Old Style"/>
              <w:spacing w:val="20"/>
              <w:szCs w:val="18"/>
            </w:rPr>
            <w:t xml:space="preserve">Główny Inspektorat Weterynarii </w:t>
          </w:r>
          <w:r w:rsidRPr="00E46763">
            <w:rPr>
              <w:rFonts w:ascii="Bookman Old Style" w:hAnsi="Bookman Old Style" w:cs="Bookman Old Style"/>
              <w:spacing w:val="20"/>
              <w:sz w:val="18"/>
              <w:szCs w:val="18"/>
            </w:rPr>
            <w:t>ul. Wspólna 30, 00-930 Warszawa</w:t>
          </w:r>
        </w:p>
      </w:tc>
    </w:tr>
    <w:tr w:rsidR="00D451FD" w:rsidRPr="00AD2265" w:rsidTr="00D169BB">
      <w:trPr>
        <w:trHeight w:val="510"/>
      </w:trPr>
      <w:tc>
        <w:tcPr>
          <w:tcW w:w="1418" w:type="dxa"/>
          <w:vMerge/>
          <w:tcBorders>
            <w:right w:val="single" w:sz="4" w:space="0" w:color="auto"/>
          </w:tcBorders>
          <w:shd w:val="clear" w:color="auto" w:fill="auto"/>
        </w:tcPr>
        <w:p w:rsidR="00D451FD" w:rsidRPr="00E46763" w:rsidRDefault="00D451FD" w:rsidP="00E46763">
          <w:pPr>
            <w:spacing w:after="0"/>
            <w:rPr>
              <w:rFonts w:ascii="Bookman Old Style" w:hAnsi="Bookman Old Style" w:cs="Bookman Old Style"/>
              <w:sz w:val="24"/>
              <w:szCs w:val="24"/>
            </w:rPr>
          </w:pPr>
        </w:p>
      </w:tc>
      <w:tc>
        <w:tcPr>
          <w:tcW w:w="8352" w:type="dxa"/>
          <w:tcBorders>
            <w:top w:val="nil"/>
            <w:left w:val="single" w:sz="4" w:space="0" w:color="auto"/>
          </w:tcBorders>
          <w:shd w:val="clear" w:color="auto" w:fill="auto"/>
        </w:tcPr>
        <w:p w:rsidR="00D451FD" w:rsidRPr="00E46763" w:rsidRDefault="00D451FD" w:rsidP="00E46763">
          <w:pPr>
            <w:spacing w:before="120" w:after="0"/>
            <w:rPr>
              <w:rFonts w:ascii="Bookman Old Style" w:hAnsi="Bookman Old Style" w:cs="Bookman Old Style"/>
              <w:sz w:val="18"/>
              <w:szCs w:val="18"/>
              <w:lang w:val="fr-FR"/>
            </w:rPr>
          </w:pPr>
          <w:r w:rsidRPr="00E46763">
            <w:rPr>
              <w:rFonts w:ascii="Bookman Old Style" w:hAnsi="Bookman Old Style" w:cs="Bookman Old Style"/>
              <w:sz w:val="18"/>
              <w:szCs w:val="18"/>
              <w:lang w:val="fr-FR"/>
            </w:rPr>
            <w:t>tel.: (22) 623-20-88, fax: (22) 623-14-08, e-mail: wet@wetgiw.gov.pl, www.wetgiw.gov.pl</w:t>
          </w:r>
        </w:p>
      </w:tc>
    </w:tr>
  </w:tbl>
  <w:p w:rsidR="00223F13" w:rsidRPr="00B80AD7" w:rsidRDefault="00223F13" w:rsidP="00D451FD">
    <w:pPr>
      <w:tabs>
        <w:tab w:val="center" w:pos="4819"/>
        <w:tab w:val="right" w:pos="9638"/>
      </w:tabs>
      <w:spacing w:after="0" w:line="240" w:lineRule="auto"/>
      <w:jc w:val="center"/>
      <w:rPr>
        <w:rFonts w:cs="Times New Roman"/>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70" w:type="dxa"/>
      <w:tblBorders>
        <w:top w:val="dotDotDash" w:sz="4" w:space="0" w:color="auto"/>
      </w:tblBorders>
      <w:tblLook w:val="04A0" w:firstRow="1" w:lastRow="0" w:firstColumn="1" w:lastColumn="0" w:noHBand="0" w:noVBand="1"/>
    </w:tblPr>
    <w:tblGrid>
      <w:gridCol w:w="1521"/>
      <w:gridCol w:w="8249"/>
    </w:tblGrid>
    <w:tr w:rsidR="007E3418" w:rsidTr="00E46763">
      <w:trPr>
        <w:trHeight w:val="139"/>
      </w:trPr>
      <w:tc>
        <w:tcPr>
          <w:tcW w:w="9770" w:type="dxa"/>
          <w:gridSpan w:val="2"/>
          <w:tcBorders>
            <w:bottom w:val="nil"/>
          </w:tcBorders>
          <w:shd w:val="clear" w:color="auto" w:fill="auto"/>
        </w:tcPr>
        <w:p w:rsidR="007E3418" w:rsidRPr="00D169BB" w:rsidRDefault="007E3418" w:rsidP="00E46763">
          <w:pPr>
            <w:tabs>
              <w:tab w:val="center" w:pos="4819"/>
              <w:tab w:val="right" w:pos="9638"/>
            </w:tabs>
            <w:spacing w:after="0" w:line="240" w:lineRule="auto"/>
            <w:jc w:val="center"/>
            <w:rPr>
              <w:rFonts w:cs="Times New Roman"/>
              <w:sz w:val="16"/>
              <w:lang w:val="fr-FR"/>
            </w:rPr>
          </w:pPr>
        </w:p>
      </w:tc>
    </w:tr>
    <w:tr w:rsidR="007E3418" w:rsidTr="00D169BB">
      <w:trPr>
        <w:trHeight w:val="340"/>
      </w:trPr>
      <w:tc>
        <w:tcPr>
          <w:tcW w:w="1521" w:type="dxa"/>
          <w:vMerge w:val="restart"/>
          <w:tcBorders>
            <w:top w:val="nil"/>
            <w:right w:val="single" w:sz="4" w:space="0" w:color="auto"/>
          </w:tcBorders>
          <w:shd w:val="clear" w:color="auto" w:fill="auto"/>
        </w:tcPr>
        <w:p w:rsidR="007E3418" w:rsidRDefault="0033481A" w:rsidP="00D169BB">
          <w:pPr>
            <w:spacing w:after="0"/>
            <w:jc w:val="center"/>
            <w:rPr>
              <w:noProof/>
              <w:lang w:eastAsia="pl-PL"/>
            </w:rPr>
          </w:pPr>
          <w:r w:rsidRPr="00D07A76">
            <w:rPr>
              <w:noProof/>
              <w:lang w:eastAsia="pl-PL"/>
            </w:rPr>
            <w:drawing>
              <wp:inline distT="0" distB="0" distL="0" distR="0">
                <wp:extent cx="657225" cy="561975"/>
                <wp:effectExtent l="0" t="0" r="9525" b="9525"/>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561975"/>
                        </a:xfrm>
                        <a:prstGeom prst="rect">
                          <a:avLst/>
                        </a:prstGeom>
                        <a:noFill/>
                        <a:ln>
                          <a:noFill/>
                        </a:ln>
                      </pic:spPr>
                    </pic:pic>
                  </a:graphicData>
                </a:graphic>
              </wp:inline>
            </w:drawing>
          </w:r>
        </w:p>
      </w:tc>
      <w:tc>
        <w:tcPr>
          <w:tcW w:w="8249" w:type="dxa"/>
          <w:tcBorders>
            <w:top w:val="nil"/>
            <w:left w:val="single" w:sz="4" w:space="0" w:color="auto"/>
          </w:tcBorders>
          <w:shd w:val="clear" w:color="auto" w:fill="auto"/>
        </w:tcPr>
        <w:p w:rsidR="007E3418" w:rsidRPr="00E46763" w:rsidRDefault="007E3418" w:rsidP="00E46763">
          <w:pPr>
            <w:spacing w:before="120" w:after="0"/>
            <w:rPr>
              <w:rFonts w:ascii="Bookman Old Style" w:hAnsi="Bookman Old Style" w:cs="Bookman Old Style"/>
              <w:spacing w:val="20"/>
              <w:szCs w:val="18"/>
            </w:rPr>
          </w:pPr>
          <w:r w:rsidRPr="00E46763">
            <w:rPr>
              <w:rFonts w:ascii="Bookman Old Style" w:hAnsi="Bookman Old Style" w:cs="Bookman Old Style"/>
              <w:spacing w:val="20"/>
              <w:szCs w:val="18"/>
            </w:rPr>
            <w:t xml:space="preserve">Główny Inspektorat Weterynarii </w:t>
          </w:r>
          <w:r w:rsidRPr="00E46763">
            <w:rPr>
              <w:rFonts w:ascii="Bookman Old Style" w:hAnsi="Bookman Old Style" w:cs="Bookman Old Style"/>
              <w:spacing w:val="20"/>
              <w:sz w:val="18"/>
              <w:szCs w:val="18"/>
            </w:rPr>
            <w:t>ul. Wspólna 30, 00-930 Warszawa</w:t>
          </w:r>
        </w:p>
      </w:tc>
    </w:tr>
    <w:tr w:rsidR="007E3418" w:rsidRPr="00AD2265" w:rsidTr="00D169BB">
      <w:trPr>
        <w:trHeight w:val="510"/>
      </w:trPr>
      <w:tc>
        <w:tcPr>
          <w:tcW w:w="1521" w:type="dxa"/>
          <w:vMerge/>
          <w:tcBorders>
            <w:right w:val="single" w:sz="4" w:space="0" w:color="auto"/>
          </w:tcBorders>
          <w:shd w:val="clear" w:color="auto" w:fill="auto"/>
        </w:tcPr>
        <w:p w:rsidR="007E3418" w:rsidRPr="00E46763" w:rsidRDefault="007E3418" w:rsidP="00E46763">
          <w:pPr>
            <w:spacing w:after="0"/>
            <w:rPr>
              <w:rFonts w:ascii="Bookman Old Style" w:hAnsi="Bookman Old Style" w:cs="Bookman Old Style"/>
              <w:sz w:val="24"/>
              <w:szCs w:val="24"/>
            </w:rPr>
          </w:pPr>
        </w:p>
      </w:tc>
      <w:tc>
        <w:tcPr>
          <w:tcW w:w="8249" w:type="dxa"/>
          <w:tcBorders>
            <w:top w:val="nil"/>
            <w:left w:val="single" w:sz="4" w:space="0" w:color="auto"/>
          </w:tcBorders>
          <w:shd w:val="clear" w:color="auto" w:fill="auto"/>
        </w:tcPr>
        <w:p w:rsidR="007E3418" w:rsidRPr="00E46763" w:rsidRDefault="007E3418" w:rsidP="00E46763">
          <w:pPr>
            <w:spacing w:before="120" w:after="0"/>
            <w:rPr>
              <w:rFonts w:ascii="Bookman Old Style" w:hAnsi="Bookman Old Style" w:cs="Bookman Old Style"/>
              <w:sz w:val="18"/>
              <w:szCs w:val="18"/>
              <w:lang w:val="fr-FR"/>
            </w:rPr>
          </w:pPr>
          <w:r w:rsidRPr="00E46763">
            <w:rPr>
              <w:rFonts w:ascii="Bookman Old Style" w:hAnsi="Bookman Old Style" w:cs="Bookman Old Style"/>
              <w:sz w:val="18"/>
              <w:szCs w:val="18"/>
              <w:lang w:val="fr-FR"/>
            </w:rPr>
            <w:t>tel.: (22) 623-20-88, fax: (22) 623-14-08, e-mail: wet@wetgiw.gov.pl, www.wetgiw.gov.pl</w:t>
          </w:r>
        </w:p>
      </w:tc>
    </w:tr>
  </w:tbl>
  <w:p w:rsidR="00901508" w:rsidRPr="00AD2265" w:rsidRDefault="00901508">
    <w:pPr>
      <w:pStyle w:val="Stopk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1A2D" w:rsidRDefault="00A21A2D" w:rsidP="00330FFE">
      <w:pPr>
        <w:spacing w:after="0" w:line="240" w:lineRule="auto"/>
        <w:rPr>
          <w:rFonts w:cs="Times New Roman"/>
        </w:rPr>
      </w:pPr>
      <w:r>
        <w:rPr>
          <w:rFonts w:cs="Times New Roman"/>
        </w:rPr>
        <w:separator/>
      </w:r>
    </w:p>
  </w:footnote>
  <w:footnote w:type="continuationSeparator" w:id="0">
    <w:p w:rsidR="00A21A2D" w:rsidRDefault="00A21A2D" w:rsidP="00330FFE">
      <w:pPr>
        <w:spacing w:after="0" w:line="240" w:lineRule="auto"/>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defaultTabStop w:val="708"/>
  <w:hyphenationZone w:val="425"/>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81A"/>
    <w:rsid w:val="000138BC"/>
    <w:rsid w:val="00017794"/>
    <w:rsid w:val="000233C2"/>
    <w:rsid w:val="00027A5D"/>
    <w:rsid w:val="00032FBA"/>
    <w:rsid w:val="000429B8"/>
    <w:rsid w:val="00055F49"/>
    <w:rsid w:val="0005759F"/>
    <w:rsid w:val="00091DE0"/>
    <w:rsid w:val="000A12B0"/>
    <w:rsid w:val="000A33FA"/>
    <w:rsid w:val="000A70CD"/>
    <w:rsid w:val="000C2281"/>
    <w:rsid w:val="000D1DC8"/>
    <w:rsid w:val="000D555A"/>
    <w:rsid w:val="0010016F"/>
    <w:rsid w:val="001020DE"/>
    <w:rsid w:val="00113E98"/>
    <w:rsid w:val="00131CF0"/>
    <w:rsid w:val="00132E8A"/>
    <w:rsid w:val="00135ED7"/>
    <w:rsid w:val="00167AE5"/>
    <w:rsid w:val="00170F0A"/>
    <w:rsid w:val="00181D07"/>
    <w:rsid w:val="001A5D25"/>
    <w:rsid w:val="001C6B44"/>
    <w:rsid w:val="001C7BC4"/>
    <w:rsid w:val="001F2B7E"/>
    <w:rsid w:val="001F3296"/>
    <w:rsid w:val="00223F13"/>
    <w:rsid w:val="00262943"/>
    <w:rsid w:val="00265ECC"/>
    <w:rsid w:val="00274DFE"/>
    <w:rsid w:val="00277CBE"/>
    <w:rsid w:val="002A1292"/>
    <w:rsid w:val="002A5E2A"/>
    <w:rsid w:val="002F6BCB"/>
    <w:rsid w:val="0032147D"/>
    <w:rsid w:val="00324F6C"/>
    <w:rsid w:val="00330FFE"/>
    <w:rsid w:val="003338F6"/>
    <w:rsid w:val="0033481A"/>
    <w:rsid w:val="003358B1"/>
    <w:rsid w:val="00340195"/>
    <w:rsid w:val="00340B09"/>
    <w:rsid w:val="0034445C"/>
    <w:rsid w:val="00347DA1"/>
    <w:rsid w:val="00367F91"/>
    <w:rsid w:val="00376536"/>
    <w:rsid w:val="00382571"/>
    <w:rsid w:val="003A0541"/>
    <w:rsid w:val="003B2152"/>
    <w:rsid w:val="003C6832"/>
    <w:rsid w:val="003D01B9"/>
    <w:rsid w:val="003D2876"/>
    <w:rsid w:val="003D742B"/>
    <w:rsid w:val="003E4A7B"/>
    <w:rsid w:val="004013E7"/>
    <w:rsid w:val="004139EE"/>
    <w:rsid w:val="00424B72"/>
    <w:rsid w:val="00424CD6"/>
    <w:rsid w:val="00425398"/>
    <w:rsid w:val="004375F4"/>
    <w:rsid w:val="0044294E"/>
    <w:rsid w:val="00443351"/>
    <w:rsid w:val="004506B0"/>
    <w:rsid w:val="00452D4C"/>
    <w:rsid w:val="00455231"/>
    <w:rsid w:val="00457A0E"/>
    <w:rsid w:val="00457B35"/>
    <w:rsid w:val="00462717"/>
    <w:rsid w:val="00473D1B"/>
    <w:rsid w:val="00480B27"/>
    <w:rsid w:val="004953EE"/>
    <w:rsid w:val="004B2447"/>
    <w:rsid w:val="004C176D"/>
    <w:rsid w:val="004D17A0"/>
    <w:rsid w:val="004E6748"/>
    <w:rsid w:val="004F2C31"/>
    <w:rsid w:val="005068F0"/>
    <w:rsid w:val="0051217C"/>
    <w:rsid w:val="005279EB"/>
    <w:rsid w:val="00547668"/>
    <w:rsid w:val="00555627"/>
    <w:rsid w:val="0055671A"/>
    <w:rsid w:val="0056201C"/>
    <w:rsid w:val="005744DF"/>
    <w:rsid w:val="00587041"/>
    <w:rsid w:val="005979F3"/>
    <w:rsid w:val="005B6A33"/>
    <w:rsid w:val="005D0965"/>
    <w:rsid w:val="006001AE"/>
    <w:rsid w:val="0061073C"/>
    <w:rsid w:val="006142B3"/>
    <w:rsid w:val="0064041C"/>
    <w:rsid w:val="006646DB"/>
    <w:rsid w:val="006737E0"/>
    <w:rsid w:val="006807E7"/>
    <w:rsid w:val="006F3985"/>
    <w:rsid w:val="00742BB6"/>
    <w:rsid w:val="00747BC6"/>
    <w:rsid w:val="00761BA9"/>
    <w:rsid w:val="00763A02"/>
    <w:rsid w:val="007955CD"/>
    <w:rsid w:val="007A4919"/>
    <w:rsid w:val="007B0824"/>
    <w:rsid w:val="007C1482"/>
    <w:rsid w:val="007E3418"/>
    <w:rsid w:val="007E4295"/>
    <w:rsid w:val="00804C06"/>
    <w:rsid w:val="00846C20"/>
    <w:rsid w:val="00864664"/>
    <w:rsid w:val="00871669"/>
    <w:rsid w:val="00874201"/>
    <w:rsid w:val="00885454"/>
    <w:rsid w:val="00892D0A"/>
    <w:rsid w:val="008A504B"/>
    <w:rsid w:val="008B69B3"/>
    <w:rsid w:val="008C1284"/>
    <w:rsid w:val="008D7AB1"/>
    <w:rsid w:val="008F1D1A"/>
    <w:rsid w:val="008F51DD"/>
    <w:rsid w:val="00901508"/>
    <w:rsid w:val="00920E64"/>
    <w:rsid w:val="0092713A"/>
    <w:rsid w:val="0093344E"/>
    <w:rsid w:val="00941906"/>
    <w:rsid w:val="00944049"/>
    <w:rsid w:val="009448A1"/>
    <w:rsid w:val="0095337D"/>
    <w:rsid w:val="00955CBE"/>
    <w:rsid w:val="0096794D"/>
    <w:rsid w:val="009771DD"/>
    <w:rsid w:val="009913CE"/>
    <w:rsid w:val="009A105B"/>
    <w:rsid w:val="009A6EBE"/>
    <w:rsid w:val="009B2B0A"/>
    <w:rsid w:val="009B2CD8"/>
    <w:rsid w:val="009C0AFE"/>
    <w:rsid w:val="009F2E0F"/>
    <w:rsid w:val="009F587F"/>
    <w:rsid w:val="00A13915"/>
    <w:rsid w:val="00A140CE"/>
    <w:rsid w:val="00A20CD1"/>
    <w:rsid w:val="00A21A2D"/>
    <w:rsid w:val="00A23CB4"/>
    <w:rsid w:val="00A25EB8"/>
    <w:rsid w:val="00A27CAB"/>
    <w:rsid w:val="00A31A80"/>
    <w:rsid w:val="00A339B2"/>
    <w:rsid w:val="00A5212E"/>
    <w:rsid w:val="00A54FF0"/>
    <w:rsid w:val="00A77192"/>
    <w:rsid w:val="00AB2B12"/>
    <w:rsid w:val="00AB6BBF"/>
    <w:rsid w:val="00AC3CFE"/>
    <w:rsid w:val="00AC4BFC"/>
    <w:rsid w:val="00AC605E"/>
    <w:rsid w:val="00AD2265"/>
    <w:rsid w:val="00AD397C"/>
    <w:rsid w:val="00AE4559"/>
    <w:rsid w:val="00AF6DC8"/>
    <w:rsid w:val="00B02C95"/>
    <w:rsid w:val="00B176C9"/>
    <w:rsid w:val="00B430FF"/>
    <w:rsid w:val="00B55854"/>
    <w:rsid w:val="00B6243D"/>
    <w:rsid w:val="00B765A2"/>
    <w:rsid w:val="00B80AD7"/>
    <w:rsid w:val="00B80E8B"/>
    <w:rsid w:val="00B97172"/>
    <w:rsid w:val="00BA194D"/>
    <w:rsid w:val="00BA54E0"/>
    <w:rsid w:val="00BA75F2"/>
    <w:rsid w:val="00BB588B"/>
    <w:rsid w:val="00BC6FA7"/>
    <w:rsid w:val="00BD53C9"/>
    <w:rsid w:val="00BF3F94"/>
    <w:rsid w:val="00BF7AC0"/>
    <w:rsid w:val="00C02017"/>
    <w:rsid w:val="00C023BB"/>
    <w:rsid w:val="00C142D0"/>
    <w:rsid w:val="00C212B3"/>
    <w:rsid w:val="00C35FC1"/>
    <w:rsid w:val="00C44D39"/>
    <w:rsid w:val="00C6673E"/>
    <w:rsid w:val="00C66D42"/>
    <w:rsid w:val="00C70988"/>
    <w:rsid w:val="00C716B7"/>
    <w:rsid w:val="00C71A30"/>
    <w:rsid w:val="00C9438D"/>
    <w:rsid w:val="00CA6F21"/>
    <w:rsid w:val="00CB1211"/>
    <w:rsid w:val="00CF2D23"/>
    <w:rsid w:val="00D0666E"/>
    <w:rsid w:val="00D169BB"/>
    <w:rsid w:val="00D16E96"/>
    <w:rsid w:val="00D451FD"/>
    <w:rsid w:val="00D564F3"/>
    <w:rsid w:val="00D61610"/>
    <w:rsid w:val="00D73A2A"/>
    <w:rsid w:val="00D75ED5"/>
    <w:rsid w:val="00D837D4"/>
    <w:rsid w:val="00D871E1"/>
    <w:rsid w:val="00D8720D"/>
    <w:rsid w:val="00D950EF"/>
    <w:rsid w:val="00DA07B0"/>
    <w:rsid w:val="00DB543C"/>
    <w:rsid w:val="00DC1DA7"/>
    <w:rsid w:val="00DE61CD"/>
    <w:rsid w:val="00E060FD"/>
    <w:rsid w:val="00E276A5"/>
    <w:rsid w:val="00E30C11"/>
    <w:rsid w:val="00E3144F"/>
    <w:rsid w:val="00E4031E"/>
    <w:rsid w:val="00E46763"/>
    <w:rsid w:val="00E63FBB"/>
    <w:rsid w:val="00E80D5A"/>
    <w:rsid w:val="00E87A72"/>
    <w:rsid w:val="00ED06F8"/>
    <w:rsid w:val="00EE5D63"/>
    <w:rsid w:val="00EE7F44"/>
    <w:rsid w:val="00EF65DB"/>
    <w:rsid w:val="00F00398"/>
    <w:rsid w:val="00F07F54"/>
    <w:rsid w:val="00F12CDB"/>
    <w:rsid w:val="00F14A20"/>
    <w:rsid w:val="00F1729D"/>
    <w:rsid w:val="00F32C2A"/>
    <w:rsid w:val="00F442E0"/>
    <w:rsid w:val="00F5206E"/>
    <w:rsid w:val="00F553AB"/>
    <w:rsid w:val="00F5691A"/>
    <w:rsid w:val="00F62AB6"/>
    <w:rsid w:val="00F7098C"/>
    <w:rsid w:val="00F8341E"/>
    <w:rsid w:val="00F93AD5"/>
    <w:rsid w:val="00FA4605"/>
    <w:rsid w:val="00FA736C"/>
    <w:rsid w:val="00FB5C27"/>
    <w:rsid w:val="00FF4B4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D325AD"/>
  <w15:chartTrackingRefBased/>
  <w15:docId w15:val="{6AB1FEE2-4E10-4057-AD3F-B9CB7D44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807E7"/>
    <w:pPr>
      <w:spacing w:after="200" w:line="276" w:lineRule="auto"/>
    </w:pPr>
    <w:rPr>
      <w:rFonts w:eastAsia="Times New Roman" w:cs="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330FFE"/>
    <w:pPr>
      <w:spacing w:after="0" w:line="240" w:lineRule="auto"/>
    </w:pPr>
    <w:rPr>
      <w:rFonts w:ascii="Tahoma" w:eastAsia="Calibri" w:hAnsi="Tahoma" w:cs="Times New Roman"/>
      <w:sz w:val="16"/>
      <w:szCs w:val="16"/>
      <w:lang w:val="x-none" w:eastAsia="x-none"/>
    </w:rPr>
  </w:style>
  <w:style w:type="paragraph" w:styleId="Nagwek">
    <w:name w:val="header"/>
    <w:basedOn w:val="Normalny"/>
    <w:link w:val="NagwekZnak"/>
    <w:uiPriority w:val="99"/>
    <w:rsid w:val="00330FFE"/>
    <w:pPr>
      <w:tabs>
        <w:tab w:val="center" w:pos="4536"/>
        <w:tab w:val="right" w:pos="9072"/>
      </w:tabs>
      <w:spacing w:after="0" w:line="240" w:lineRule="auto"/>
    </w:pPr>
  </w:style>
  <w:style w:type="character" w:customStyle="1" w:styleId="TekstdymkaZnak">
    <w:name w:val="Tekst dymka Znak"/>
    <w:link w:val="Tekstdymka"/>
    <w:uiPriority w:val="99"/>
    <w:semiHidden/>
    <w:locked/>
    <w:rsid w:val="00330FFE"/>
    <w:rPr>
      <w:rFonts w:ascii="Tahoma" w:hAnsi="Tahoma" w:cs="Tahoma"/>
      <w:sz w:val="16"/>
      <w:szCs w:val="16"/>
    </w:rPr>
  </w:style>
  <w:style w:type="paragraph" w:styleId="Stopka">
    <w:name w:val="footer"/>
    <w:basedOn w:val="Normalny"/>
    <w:link w:val="StopkaZnak"/>
    <w:uiPriority w:val="99"/>
    <w:rsid w:val="00330FFE"/>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330FFE"/>
  </w:style>
  <w:style w:type="character" w:styleId="Hipercze">
    <w:name w:val="Hyperlink"/>
    <w:uiPriority w:val="99"/>
    <w:rsid w:val="0005759F"/>
    <w:rPr>
      <w:color w:val="0000FF"/>
      <w:u w:val="single"/>
    </w:rPr>
  </w:style>
  <w:style w:type="character" w:customStyle="1" w:styleId="StopkaZnak">
    <w:name w:val="Stopka Znak"/>
    <w:basedOn w:val="Domylnaczcionkaakapitu"/>
    <w:link w:val="Stopka"/>
    <w:uiPriority w:val="99"/>
    <w:locked/>
    <w:rsid w:val="00330FFE"/>
  </w:style>
  <w:style w:type="paragraph" w:styleId="Tekstpodstawowywcity">
    <w:name w:val="Body Text Indent"/>
    <w:basedOn w:val="Normalny"/>
    <w:link w:val="TekstpodstawowywcityZnak"/>
    <w:uiPriority w:val="99"/>
    <w:rsid w:val="00223F13"/>
    <w:pPr>
      <w:spacing w:after="0" w:line="240" w:lineRule="auto"/>
      <w:ind w:left="290"/>
    </w:pPr>
    <w:rPr>
      <w:rFonts w:cs="Times New Roman"/>
      <w:sz w:val="20"/>
      <w:szCs w:val="20"/>
      <w:lang w:val="x-none"/>
    </w:rPr>
  </w:style>
  <w:style w:type="character" w:customStyle="1" w:styleId="TekstpodstawowywcityZnak">
    <w:name w:val="Tekst podstawowy wcięty Znak"/>
    <w:link w:val="Tekstpodstawowywcity"/>
    <w:uiPriority w:val="99"/>
    <w:semiHidden/>
    <w:rsid w:val="00F32C2A"/>
    <w:rPr>
      <w:rFonts w:eastAsia="Times New Roman" w:cs="Calibri"/>
      <w:lang w:eastAsia="en-US"/>
    </w:rPr>
  </w:style>
  <w:style w:type="table" w:styleId="Tabela-Siatka">
    <w:name w:val="Table Grid"/>
    <w:basedOn w:val="Standardowy"/>
    <w:uiPriority w:val="59"/>
    <w:rsid w:val="00437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okumentu">
    <w:name w:val="Document Map"/>
    <w:basedOn w:val="Normalny"/>
    <w:link w:val="MapadokumentuZnak"/>
    <w:uiPriority w:val="99"/>
    <w:semiHidden/>
    <w:unhideWhenUsed/>
    <w:rsid w:val="003A0541"/>
    <w:pPr>
      <w:spacing w:after="0" w:line="240" w:lineRule="auto"/>
    </w:pPr>
    <w:rPr>
      <w:rFonts w:ascii="Tahoma" w:hAnsi="Tahoma" w:cs="Times New Roman"/>
      <w:sz w:val="16"/>
      <w:szCs w:val="16"/>
      <w:lang w:val="x-none"/>
    </w:rPr>
  </w:style>
  <w:style w:type="character" w:customStyle="1" w:styleId="MapadokumentuZnak">
    <w:name w:val="Mapa dokumentu Znak"/>
    <w:link w:val="Mapadokumentu"/>
    <w:uiPriority w:val="99"/>
    <w:semiHidden/>
    <w:rsid w:val="003A0541"/>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4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olina.zych\AppData\Local\Microsoft\Windows\Temporary%20Internet%20Files\Content.Outlook\2XX30WTQ\GLW%20-%20podpis%20kwalifikowany%20e-PUAP.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5761-7CEB-4A2B-97FA-02CD16E8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GLW - podpis kwalifikowany e-PUAP.dot</Template>
  <TotalTime>399</TotalTime>
  <Pages>4</Pages>
  <Words>1087</Words>
  <Characters>6526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Szablon GLW</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GLW</dc:title>
  <dc:subject/>
  <dc:creator>Karolina Zych</dc:creator>
  <cp:keywords/>
  <dc:description/>
  <cp:lastModifiedBy>Karolina Zych</cp:lastModifiedBy>
  <cp:revision>7</cp:revision>
  <cp:lastPrinted>2019-03-18T10:07:00Z</cp:lastPrinted>
  <dcterms:created xsi:type="dcterms:W3CDTF">2019-03-14T14:51:00Z</dcterms:created>
  <dcterms:modified xsi:type="dcterms:W3CDTF">2019-03-18T12:01:00Z</dcterms:modified>
</cp:coreProperties>
</file>