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CAC" w:rsidRPr="00F80CAC" w:rsidRDefault="00F80CAC" w:rsidP="00F80CAC">
      <w:pPr>
        <w:spacing w:before="120" w:after="120" w:line="36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bookmarkStart w:id="0" w:name="highlightHit_3"/>
      <w:bookmarkEnd w:id="0"/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80CAC" w:rsidRPr="00F80CAC" w:rsidRDefault="00F80CAC" w:rsidP="00CE6916">
      <w:pPr>
        <w:spacing w:before="120" w:after="12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E0524A" w:rsidRDefault="00E0524A" w:rsidP="00F80CAC">
      <w:pPr>
        <w:spacing w:before="120" w:after="120" w:line="36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E0524A" w:rsidRDefault="00E0524A" w:rsidP="00F80CAC">
      <w:pPr>
        <w:spacing w:before="120" w:after="120" w:line="36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Warszawa, dnia </w:t>
      </w:r>
      <w:r w:rsidR="00C534BB">
        <w:rPr>
          <w:rFonts w:ascii="Arial" w:eastAsia="Times New Roman" w:hAnsi="Arial" w:cs="Arial"/>
          <w:sz w:val="20"/>
          <w:szCs w:val="20"/>
          <w:lang w:eastAsia="pl-PL"/>
        </w:rPr>
        <w:t xml:space="preserve">18 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maja 2020 r.</w:t>
      </w:r>
    </w:p>
    <w:p w:rsidR="00F80CAC" w:rsidRDefault="00F80CAC" w:rsidP="00E0524A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DP.5503.6.2020.JKE(3)</w:t>
      </w:r>
    </w:p>
    <w:p w:rsidR="00E0524A" w:rsidRPr="00F80CAC" w:rsidRDefault="00E0524A" w:rsidP="00E0524A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80CAC">
        <w:rPr>
          <w:rFonts w:ascii="Arial" w:eastAsia="Times New Roman" w:hAnsi="Arial" w:cs="Arial"/>
          <w:b/>
          <w:sz w:val="24"/>
          <w:szCs w:val="24"/>
          <w:lang w:eastAsia="pl-PL"/>
        </w:rPr>
        <w:t>DECYZJA</w:t>
      </w:r>
    </w:p>
    <w:p w:rsidR="00F80CAC" w:rsidRPr="00F80CAC" w:rsidRDefault="00F80CAC" w:rsidP="00F80CAC">
      <w:pPr>
        <w:autoSpaceDE w:val="0"/>
        <w:autoSpaceDN w:val="0"/>
        <w:adjustRightInd w:val="0"/>
        <w:spacing w:before="120" w:after="120" w:line="360" w:lineRule="auto"/>
        <w:ind w:right="2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80CAC" w:rsidRPr="00F80CAC" w:rsidRDefault="00F80CAC" w:rsidP="00F80CAC">
      <w:pPr>
        <w:autoSpaceDE w:val="0"/>
        <w:autoSpaceDN w:val="0"/>
        <w:adjustRightInd w:val="0"/>
        <w:spacing w:before="120" w:after="120" w:line="360" w:lineRule="auto"/>
        <w:ind w:right="2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Na podstawie art. 16 w związku z art. 5 ust. 2 ustawy z dnia 6</w:t>
      </w:r>
      <w:r w:rsidR="00D25DFF">
        <w:rPr>
          <w:rFonts w:ascii="Arial" w:eastAsia="Times New Roman" w:hAnsi="Arial" w:cs="Arial"/>
          <w:sz w:val="20"/>
          <w:szCs w:val="20"/>
          <w:lang w:eastAsia="pl-PL"/>
        </w:rPr>
        <w:t xml:space="preserve"> września 2001 r. o </w:t>
      </w:r>
      <w:r w:rsidR="00E0524A">
        <w:rPr>
          <w:rFonts w:ascii="Arial" w:eastAsia="Times New Roman" w:hAnsi="Arial" w:cs="Arial"/>
          <w:sz w:val="20"/>
          <w:szCs w:val="20"/>
          <w:lang w:eastAsia="pl-PL"/>
        </w:rPr>
        <w:t>dostępie do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informacji publicznej (Dz. U. z 2019 r. poz. 1429 oraz z 2020 r. poz. 695) oraz art. 107 § 1 i 3 ustawy z dnia 14 czerwca 1960 r. - Kodeks postępowania administr</w:t>
      </w:r>
      <w:r w:rsidR="00E0524A">
        <w:rPr>
          <w:rFonts w:ascii="Arial" w:eastAsia="Times New Roman" w:hAnsi="Arial" w:cs="Arial"/>
          <w:sz w:val="20"/>
          <w:szCs w:val="20"/>
          <w:lang w:eastAsia="pl-PL"/>
        </w:rPr>
        <w:t>acyjnego (Dz. U. z 2020 r. poz.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256 i 695), po rozpatrzeniu wniosku Sieci Obywatelskiej – Watchdog Polska z dnia 16 kwietnia 2020 r. o udostępnienie informacji publicznej</w:t>
      </w:r>
    </w:p>
    <w:p w:rsidR="00F80CAC" w:rsidRPr="00F80CAC" w:rsidRDefault="00F80CAC" w:rsidP="00F80CAC">
      <w:pPr>
        <w:autoSpaceDE w:val="0"/>
        <w:autoSpaceDN w:val="0"/>
        <w:adjustRightInd w:val="0"/>
        <w:spacing w:before="120" w:after="120" w:line="360" w:lineRule="auto"/>
        <w:ind w:right="2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b/>
          <w:sz w:val="20"/>
          <w:szCs w:val="20"/>
          <w:lang w:eastAsia="pl-PL"/>
        </w:rPr>
        <w:t>odmawiam udostępnienia informacji publicznej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color w:val="222222"/>
          <w:sz w:val="20"/>
          <w:szCs w:val="20"/>
          <w:lang w:eastAsia="pl-PL"/>
        </w:rPr>
        <w:t xml:space="preserve">w zakresie punktu 4 wniosku, który dotyczy udostępnienia 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wszelkich umów, wraz z załącznikami i aneksami, zawartych w związku z akcją #LOTdodomu</w:t>
      </w:r>
      <w:r w:rsidRPr="00F80CAC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,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b/>
          <w:sz w:val="20"/>
          <w:szCs w:val="20"/>
          <w:lang w:eastAsia="pl-PL"/>
        </w:rPr>
        <w:t>ze względu na tajemnicę przedsiębiorcy.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b/>
          <w:sz w:val="20"/>
          <w:szCs w:val="20"/>
          <w:lang w:eastAsia="pl-PL"/>
        </w:rPr>
        <w:t>UZASADNIENIE</w:t>
      </w:r>
    </w:p>
    <w:p w:rsidR="00F80CAC" w:rsidRPr="00F80CAC" w:rsidRDefault="00F80CAC" w:rsidP="00F80CAC">
      <w:pPr>
        <w:spacing w:before="120" w:after="12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F80CAC" w:rsidRPr="00F80CAC" w:rsidRDefault="00F80CAC" w:rsidP="00F80C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Wnioskiem z dnia 16 kwietnia 2020 r. Sieć Obywatelska – Watchdog Polska </w:t>
      </w:r>
      <w:r w:rsidR="00E0524A">
        <w:rPr>
          <w:rFonts w:ascii="Arial" w:eastAsia="Times New Roman" w:hAnsi="Arial" w:cs="Arial"/>
          <w:sz w:val="20"/>
          <w:szCs w:val="20"/>
          <w:lang w:eastAsia="pl-PL"/>
        </w:rPr>
        <w:t>(zwana dalej także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„Wnioskodawcą”) wystąpiła do Kancelarii Prezesa Rady Ministrów o udostępnienie informacji publicznej dotyczącej udzielenia następujących informacji:</w:t>
      </w:r>
    </w:p>
    <w:p w:rsidR="00F80CAC" w:rsidRPr="00F80CAC" w:rsidRDefault="00F80CAC" w:rsidP="00F80CAC">
      <w:pPr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Czy inicjatywa zrealizowania akcji wyszła od Linii Lotniczych, czy też organów władz publicznych? Jeśli inicjatywa pochodzi od organów władz publicznych, to wnosimy o udostępnienie wszelkich poleceń i dyspozycji, wydanych w tym zakresie.</w:t>
      </w:r>
    </w:p>
    <w:p w:rsidR="00F80CAC" w:rsidRPr="00F80CAC" w:rsidRDefault="00F80CAC" w:rsidP="00F80CAC">
      <w:pPr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lastRenderedPageBreak/>
        <w:t>Jaki był koszt dopłaty do poszczególnych rejsów z budżetu państwa?</w:t>
      </w:r>
    </w:p>
    <w:p w:rsidR="00F80CAC" w:rsidRPr="00F80CAC" w:rsidRDefault="00F80CAC" w:rsidP="00F80CAC">
      <w:pPr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Jaki jest całkowity koszt dopłaty z budżetu państwa?</w:t>
      </w:r>
    </w:p>
    <w:p w:rsidR="00F80CAC" w:rsidRPr="00F80CAC" w:rsidRDefault="00F80CAC" w:rsidP="00F80CAC">
      <w:pPr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Wszelkich umów, wraz z załą</w:t>
      </w:r>
      <w:r w:rsidR="00CA20FE">
        <w:rPr>
          <w:rFonts w:ascii="Arial" w:eastAsia="Times New Roman" w:hAnsi="Arial" w:cs="Arial"/>
          <w:sz w:val="20"/>
          <w:szCs w:val="20"/>
          <w:lang w:eastAsia="pl-PL"/>
        </w:rPr>
        <w:t xml:space="preserve">cznikami i aneksami, zawartych 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w związku z akcją #LOTdodomu;</w:t>
      </w:r>
    </w:p>
    <w:p w:rsidR="00F80CAC" w:rsidRDefault="00F80CAC" w:rsidP="00F80CAC">
      <w:pPr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Dlaczego do akcji #Lotdodomu nie zostali dopuszczeni inni przewoźnicy, niż Polskie Linie Lotnicze LOT?</w:t>
      </w:r>
    </w:p>
    <w:p w:rsidR="00D25DFF" w:rsidRPr="00D25DFF" w:rsidRDefault="00D25DFF" w:rsidP="00D25DFF">
      <w:pPr>
        <w:autoSpaceDE w:val="0"/>
        <w:autoSpaceDN w:val="0"/>
        <w:adjustRightInd w:val="0"/>
        <w:spacing w:before="120" w:after="120" w:line="360" w:lineRule="auto"/>
        <w:ind w:left="720"/>
        <w:contextualSpacing/>
        <w:jc w:val="both"/>
        <w:rPr>
          <w:rFonts w:ascii="Arial" w:eastAsia="Times New Roman" w:hAnsi="Arial" w:cs="Arial"/>
          <w:sz w:val="6"/>
          <w:szCs w:val="6"/>
          <w:lang w:eastAsia="pl-PL"/>
        </w:rPr>
      </w:pPr>
    </w:p>
    <w:p w:rsidR="00F80CAC" w:rsidRPr="00F80CAC" w:rsidRDefault="00F80CAC" w:rsidP="00F80C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Pismem z dnia 29 kwietnia 2020 r. (CIR.WOAIP.5503.197.2020.AK) udzielono Wnioskodawcy odpowiedzi – odnośnie pytań 1-3 i 5 – iż Kancelaria Prezesa Rady Ministrów nie dysponuje wnioskowanymi informacjami.</w:t>
      </w:r>
    </w:p>
    <w:p w:rsidR="00F80CAC" w:rsidRPr="00F80CAC" w:rsidRDefault="00F80CAC" w:rsidP="00F80C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Po rozpatrzeniu wniosku organ stwierdził, co następuje.</w:t>
      </w:r>
    </w:p>
    <w:p w:rsidR="00F80CAC" w:rsidRPr="00F80CAC" w:rsidRDefault="00F80CAC" w:rsidP="00F80C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Wniosek Sieci Obywatelskiej – Watchdog Polska z dnia 16 kwietnia 2020 r. w zakresie udostępnienia informacji, o której mowa w pkt 4, tj. wszelkich umów, wraz z załącznikami i aneksami, zawartych  w związku z akcją #LOTdodomu, nie może być uwzględniony ze względu na treść art. 5 ust. 2 ustawy z dnia 6 września 2001 r. o dostępie do informacji publicznej. Zgodnie z tym przepisem, prawo </w:t>
      </w:r>
      <w:bookmarkStart w:id="1" w:name="highlightHit_46"/>
      <w:bookmarkEnd w:id="1"/>
      <w:r w:rsidRPr="00F80CAC">
        <w:rPr>
          <w:rFonts w:ascii="Arial" w:eastAsia="Times New Roman" w:hAnsi="Arial" w:cs="Arial"/>
          <w:sz w:val="20"/>
          <w:szCs w:val="20"/>
          <w:lang w:eastAsia="pl-PL"/>
        </w:rPr>
        <w:t>do</w:t>
      </w:r>
      <w:bookmarkStart w:id="2" w:name="highlightHit_47"/>
      <w:bookmarkEnd w:id="2"/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 informacji </w:t>
      </w:r>
      <w:bookmarkStart w:id="3" w:name="highlightHit_48"/>
      <w:bookmarkEnd w:id="3"/>
      <w:r w:rsidRPr="00F80CAC">
        <w:rPr>
          <w:rFonts w:ascii="Arial" w:eastAsia="Times New Roman" w:hAnsi="Arial" w:cs="Arial"/>
          <w:sz w:val="20"/>
          <w:szCs w:val="20"/>
          <w:lang w:eastAsia="pl-PL"/>
        </w:rPr>
        <w:t>publicznej podlega ograniczeniu ze względu na tajemnicę przedsiębiorcy.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Na wstępie należy zauważyć, iż generalną zasadą każdego postępowania o udostępnienie informacji publicznej, w jego wstępnej fazie, jest ustalenie, czy w istocie dana informacja ma charakter i przymiot informacji publicznej. W przypadku zaś stwierdzenia, że żądana informacja charakter taki posiada, kolejnym etapem postępowania jest ustalenie, czy informacja taka podlega ochronie na zasadach określonych w odrębnych przepisach, co jest równoważne ustaleniu, czy w sprawie nie zachodzą przesłanki ograniczające podmiotowe prawo dostępu do informacji publicznej w rozumieniu art. 5 ustawy z dnia 6 września 2001 r. o dostępie do informacji publicznej. W odniesieniu do pkt 4 wniosku Sieci Obywatelskiej – Watchdog Polska przesłanki takie zachodzą ze względu na jego przedmiot. 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Prawo do uzyskiwania informacji o działalności organów władzy publicznej oraz osób pełniących funkcje publiczne jest prawem konstytucyjnym, zagwarantowanym obywatelom w art. 61 ust. 1 Konstytucji Rzeczypospolitej Polskiej, zgodnie z którym „obywatel ma prawo do uzyskiwania informacji o działalności organów władzy publicznej oraz osób pełniących funkcje publiczne”. Powyższe prawo nie jest nieograniczone, o czym stanowi ust. 3 art. 61 Konstytucji. Zatem wszystkie dokumenty publiczne są jawne z wyjątkiem tych, które chronią prywatność lub zostały utajnione na mocy właściwych przepisów (glosa do wyroku NSA z dnia 5 grudnia 2001 r., P. Szkudlarek, II SA 155/01, PiP 2002/12/107). Powyższą wykładnię dodatkowo potwierdza art. 31 ust. 3 Konstytucji, który stanowi, iż „ograniczenia w zakresie korzystania z konstytucyjnych wolności i praw mogą być ustanawiane tylko w ustawie i tylko wtedy, gdy są konieczne w demokratycznym państwie dla jego bezpieczeństwa lub porządku publicznego, bądź dla ochrony środowiska, zdrowi</w:t>
      </w:r>
      <w:r w:rsidR="00B82093">
        <w:rPr>
          <w:rFonts w:ascii="Arial" w:eastAsia="Times New Roman" w:hAnsi="Arial" w:cs="Arial"/>
          <w:sz w:val="20"/>
          <w:szCs w:val="20"/>
          <w:lang w:eastAsia="pl-PL"/>
        </w:rPr>
        <w:t>a i moralności publicznej, albo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wolności i praw innych osób. Ograniczenia te nie mogą naruszać istoty wolności i praw”. 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Odnosząc się w tym miejscu do kwestii ograniczenia dostępu do informacji publicznej – na podstawie art. 5 ust. 2 ustawy o dostępie do informacji publicznej – ze względu na tajemnicę przedsiębiorcy należy zwrócić uwagę, iż ustawa o dostępie do informacji publicznej nie zawiera definicji pojęcia 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lastRenderedPageBreak/>
        <w:t>„tajemnica przedsiębiorcy”. Jest to pojęcie niedookreślone, zatem jego wykładnia powinna być odczytywana m.in. przez pryzmat art. 61 ust. 3 Konstytucji, o którym mowa powyżej (por. wyrok Naczelnego Sądu Administracyjnego z dnia 29 września 2017 r., sygn. akt I OSK 3046/15).</w:t>
      </w:r>
    </w:p>
    <w:p w:rsidR="00B82093" w:rsidRPr="00B82093" w:rsidRDefault="00B82093" w:rsidP="00F80CAC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377C15">
        <w:rPr>
          <w:rFonts w:ascii="Arial" w:hAnsi="Arial" w:cs="Arial"/>
          <w:sz w:val="20"/>
          <w:szCs w:val="20"/>
        </w:rPr>
        <w:t>W rozumieniu pojęcia „tajemnica przedsiębiorcy” należy uwzględnić przed</w:t>
      </w:r>
      <w:r>
        <w:rPr>
          <w:rFonts w:ascii="Arial" w:hAnsi="Arial" w:cs="Arial"/>
          <w:sz w:val="20"/>
          <w:szCs w:val="20"/>
        </w:rPr>
        <w:t>e</w:t>
      </w:r>
      <w:r w:rsidRPr="00377C15">
        <w:rPr>
          <w:rFonts w:ascii="Arial" w:hAnsi="Arial" w:cs="Arial"/>
          <w:sz w:val="20"/>
          <w:szCs w:val="20"/>
        </w:rPr>
        <w:t xml:space="preserve"> wszystkim definicję </w:t>
      </w:r>
      <w:r w:rsidR="00C534BB">
        <w:rPr>
          <w:rFonts w:ascii="Arial" w:hAnsi="Arial" w:cs="Arial"/>
          <w:sz w:val="20"/>
          <w:szCs w:val="20"/>
        </w:rPr>
        <w:t xml:space="preserve">tego pojęcia </w:t>
      </w:r>
      <w:r w:rsidRPr="00377C15">
        <w:rPr>
          <w:rFonts w:ascii="Arial" w:hAnsi="Arial" w:cs="Arial"/>
          <w:sz w:val="20"/>
          <w:szCs w:val="20"/>
        </w:rPr>
        <w:t xml:space="preserve">zawartą w art. 11 ust. 2 ustawy </w:t>
      </w:r>
      <w:r w:rsidRPr="00377C15">
        <w:rPr>
          <w:rFonts w:ascii="Arial" w:hAnsi="Arial" w:cs="Arial"/>
          <w:bCs/>
          <w:sz w:val="20"/>
          <w:szCs w:val="20"/>
        </w:rPr>
        <w:t xml:space="preserve">z dnia 16 kwietnia 1993 r. </w:t>
      </w:r>
      <w:r w:rsidRPr="00377C15">
        <w:rPr>
          <w:rFonts w:ascii="Arial" w:hAnsi="Arial" w:cs="Arial"/>
          <w:sz w:val="20"/>
          <w:szCs w:val="20"/>
        </w:rPr>
        <w:t>o zwalczaniu nieuczciwej konkurencji (Dz. U. z 2019 r. poz. 1010 i</w:t>
      </w:r>
      <w:r>
        <w:rPr>
          <w:rFonts w:ascii="Arial" w:hAnsi="Arial" w:cs="Arial"/>
          <w:sz w:val="20"/>
          <w:szCs w:val="20"/>
        </w:rPr>
        <w:t xml:space="preserve"> 1649)</w:t>
      </w:r>
      <w:r w:rsidR="00C534BB">
        <w:rPr>
          <w:rFonts w:ascii="Arial" w:hAnsi="Arial" w:cs="Arial"/>
          <w:sz w:val="20"/>
          <w:szCs w:val="20"/>
        </w:rPr>
        <w:t>,</w:t>
      </w:r>
      <w:bookmarkStart w:id="4" w:name="_GoBack"/>
      <w:bookmarkEnd w:id="4"/>
      <w:r>
        <w:rPr>
          <w:rFonts w:ascii="Arial" w:hAnsi="Arial" w:cs="Arial"/>
          <w:sz w:val="20"/>
          <w:szCs w:val="20"/>
        </w:rPr>
        <w:t xml:space="preserve"> który stanowi, iż przez </w:t>
      </w:r>
      <w:r w:rsidRPr="00377C15">
        <w:rPr>
          <w:rFonts w:ascii="Arial" w:hAnsi="Arial" w:cs="Arial"/>
          <w:sz w:val="20"/>
          <w:szCs w:val="20"/>
        </w:rPr>
        <w:t xml:space="preserve">tajemnicę przedsiębiorstwa rozumie się informacje techniczne, technologiczne, organizacyjne przedsiębiorstwa lub inne informacje posiadające wartość gospodarczą, które jako całość lub w szczególnym zestawieniu i zbiorze ich elementów nie są powszechnie znane osobom zwykle zajmującym się tym rodzajem informacji albo nie są łatwo dostępne dla takich osób, o ile uprawniony </w:t>
      </w:r>
      <w:r>
        <w:rPr>
          <w:rFonts w:ascii="Arial" w:hAnsi="Arial" w:cs="Arial"/>
          <w:sz w:val="20"/>
          <w:szCs w:val="20"/>
        </w:rPr>
        <w:t>do korzystania z informacji lub </w:t>
      </w:r>
      <w:r w:rsidRPr="00377C15">
        <w:rPr>
          <w:rFonts w:ascii="Arial" w:hAnsi="Arial" w:cs="Arial"/>
          <w:sz w:val="20"/>
          <w:szCs w:val="20"/>
        </w:rPr>
        <w:t xml:space="preserve">rozporządzania nimi podjął, przy zachowaniu należytej staranności, działania w </w:t>
      </w:r>
      <w:r>
        <w:rPr>
          <w:rFonts w:ascii="Arial" w:hAnsi="Arial" w:cs="Arial"/>
          <w:sz w:val="20"/>
          <w:szCs w:val="20"/>
        </w:rPr>
        <w:t>celu utrzymania ich </w:t>
      </w:r>
      <w:r w:rsidRPr="00377C15">
        <w:rPr>
          <w:rFonts w:ascii="Arial" w:hAnsi="Arial" w:cs="Arial"/>
          <w:sz w:val="20"/>
          <w:szCs w:val="20"/>
        </w:rPr>
        <w:t xml:space="preserve">w poufności. 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W rezultacie, interpretując ustawę o zwalczaniu nieuczciwej konkurencji, można powiedzieć, że tajemnicę przedsiębiorstwa stanowi poufna informacja, posiadająca wartość gospodarczą</w:t>
      </w:r>
      <w:r w:rsidRPr="00F80CAC">
        <w:rPr>
          <w:rFonts w:ascii="Arial" w:eastAsia="Times New Roman" w:hAnsi="Arial" w:cs="Arial"/>
          <w:i/>
          <w:sz w:val="20"/>
          <w:szCs w:val="20"/>
          <w:lang w:eastAsia="pl-PL"/>
        </w:rPr>
        <w:t>,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 a w szczególności informacja techniczna lub organizacyjna. Odnosząc się do znaczenia pojęcia informacji posiadającej wartość gospodarczą w rozumieniu przepisów ww. ustawy, należy podkreślić, że doktryna i orzecznictwo wskazuje na istnienie nawet nieznacznej lub jedynie potencjalnej wartości ekonomicznej informacji, której wykorzystanie przez innego przedsiębiorcę mogłoby zaoszczędzić mu wydatków lub zwiększyć jego zyski w relacjach z innymi uczestnikami obrotu.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Bliższa analiza wskazanych powyżej elementów uprawnia do twierdzenia, że w zasadzie powyższe przesłanki da się sprowadzić do jednego wspólnego mianownika, tj. poufności. Jeżeli bowiem przedsiębiorca nie podjął działań w celu zabezpieczenia poufności, to informacja nie jest poufna, skoro każdy może mieć do niej dostęp. Daje się zatem zauważyć, iż informację można uznać za chronioną na podstawie ustawy o zwalczaniu nieuczciwej konkurencji wówczas, jeśli jest ona poufna. Podobnie w tej kwestii wypowiedział się również Sąd Najwyższy w wyroku z dnia 7 marca 2003 r., sygn. akt I CKN 89/01.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Analizując powyższe przepisy należy wskazać, iż w doktrynie i orzecznictwie przyjęty jest pogląd, że tajemnicę przedsiębiorcy wyprowadza się z tajemnicy przedsiębiorstwa i pojęcia te w zasadzie pokrywają się zakresowo, chociaż tajemnica przedsiębiorcy w niektórych sytuacjach może być rozumiana szerzej. W uzasadnieniu wyroku z dnia 5 kwietnia 2013 r., sygn. akt I OSK 192/13  Naczelny Sąd Administracyjny rozwinął powyższą myśl podnosząc, że tajemnicę przedsiębiorcy stanowią więc informacje znane jedynie określonemu kręgowi osó</w:t>
      </w:r>
      <w:r w:rsidR="00E0524A">
        <w:rPr>
          <w:rFonts w:ascii="Arial" w:eastAsia="Times New Roman" w:hAnsi="Arial" w:cs="Arial"/>
          <w:sz w:val="20"/>
          <w:szCs w:val="20"/>
          <w:lang w:eastAsia="pl-PL"/>
        </w:rPr>
        <w:t>b i związane z prowadzoną przez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przedsiębiorcę działalnością, wobec których podjął on wystarczające środki ochrony w celu zachowania ich poufności (nie jest wymagana przesłanka gospodarcz</w:t>
      </w:r>
      <w:r w:rsidR="004552D9">
        <w:rPr>
          <w:rFonts w:ascii="Arial" w:eastAsia="Times New Roman" w:hAnsi="Arial" w:cs="Arial"/>
          <w:sz w:val="20"/>
          <w:szCs w:val="20"/>
          <w:lang w:eastAsia="pl-PL"/>
        </w:rPr>
        <w:t>ej wartości informacji jak przy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tajemnicy przedsiębiorstwa). Informacja staje się "tajemnicą", kiedy przedsiębior</w:t>
      </w:r>
      <w:r w:rsidR="004552D9">
        <w:rPr>
          <w:rFonts w:ascii="Arial" w:eastAsia="Times New Roman" w:hAnsi="Arial" w:cs="Arial"/>
          <w:sz w:val="20"/>
          <w:szCs w:val="20"/>
          <w:lang w:eastAsia="pl-PL"/>
        </w:rPr>
        <w:t xml:space="preserve">ca przejawi wolę zachowania jej 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jako niepoznawalnej dla osób trzecich. Nie traci nat</w:t>
      </w:r>
      <w:r w:rsidR="00E0524A">
        <w:rPr>
          <w:rFonts w:ascii="Arial" w:eastAsia="Times New Roman" w:hAnsi="Arial" w:cs="Arial"/>
          <w:sz w:val="20"/>
          <w:szCs w:val="20"/>
          <w:lang w:eastAsia="pl-PL"/>
        </w:rPr>
        <w:t>omiast swojego charakteru przez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to, że wie o niej pewne ograniczone grono osób zobowiązanych do dyskrecji (np. pracownicy przedsiębiorstwa). Utrzymanie danych informacji jako tajemnicy wymaga więc podjęcia 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lastRenderedPageBreak/>
        <w:t>przez</w:t>
      </w:r>
      <w:r w:rsidR="00E0524A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przedsiębiorcę działań zmierzających do wyeliminowania mo</w:t>
      </w:r>
      <w:r w:rsidR="00E0524A">
        <w:rPr>
          <w:rFonts w:ascii="Arial" w:eastAsia="Times New Roman" w:hAnsi="Arial" w:cs="Arial"/>
          <w:sz w:val="20"/>
          <w:szCs w:val="20"/>
          <w:lang w:eastAsia="pl-PL"/>
        </w:rPr>
        <w:t>żliwości dotarcia do nich przez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osoby trzecie w normalnym toku zdarzeń, bez konieczności podejmowania szczególnych starań.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Zatem dla odmówienia udostępnienia danej informacji publicznej ze względu na tajemnicę przedsiębiorcy spełnione muszą być przesłanki formalne i materialne. Przesłanka formalna wyraża się w zamanifestowaniu woli konkretnego przedsiębiorcy utajnienia danych informacji. Z kolei przesłanka materialna polega na tym, że informacje objęte tajemnicą przedsiębiorcy stanowią informacje, których ujawnienie mogłoby mieć wpływ na jego sytuację ekonomiczną, jakkolwiek nie muszą mieć same w sobie wartości gospodarczej (por. wyrok Naczelnego Sądu Administracyjnego z dnia 27 kwietnia 2017 r., sygn. akt I OSK 2218/16). Odnosząc tym samym powyższe do przedmiotowej sprawy należy zauważyć, że spółka PLL LOT S.A. zastrzegła, że przedmiotowa umowa jest objęta tajemnicą przedsiębiorstwa i nie wyraziła zgody na jej udostępnienie. 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W związku z faktem, iż w przedmiotowej sprawie zaszły łącznie wyżej wymienione elementy, uznając charakter poufny informacji zawartych w umowie, należy odmówić udostępnienia informacji zawartej w pkt 4 przedmiotowego wniosku. 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W ślad za Naczelnym Sądem Administracyjnym w wyroku z dnia 16 listopada 2017 r. (I OSK 3056/15) należy podkreślić, że podmiot udzielający dostępu do informacji publicznej kieruje się generalnym obowiązkiem ujawniania posiadanych informacji, jednakże musi jednocześnie respektować prawo przedsiębiorcy do zachowania w poufności informacji, w kształcie w jakim określa to art. 5 ust. 2 ustawy o dostępie do informacji publicznej. Gdyby organ administra</w:t>
      </w:r>
      <w:r w:rsidR="009973AD">
        <w:rPr>
          <w:rFonts w:ascii="Arial" w:eastAsia="Times New Roman" w:hAnsi="Arial" w:cs="Arial"/>
          <w:sz w:val="20"/>
          <w:szCs w:val="20"/>
          <w:lang w:eastAsia="pl-PL"/>
        </w:rPr>
        <w:t>cji publicznej stwierdził, że w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konkretnej sytuacji zachodzi przesłanka ograniczająca dostęp do informacji publicznej w postaci tajemnicy przedsiębiorcy, a mimo to ujawniłby takie informacje, dopuściłby się umyślnego naruszenia nałożonego na niego obowiązku zachowania tajemnicy.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Należy również </w:t>
      </w:r>
      <w:r w:rsidR="00711F38">
        <w:rPr>
          <w:rFonts w:ascii="Arial" w:eastAsia="Times New Roman" w:hAnsi="Arial" w:cs="Arial"/>
          <w:sz w:val="20"/>
          <w:szCs w:val="20"/>
          <w:lang w:eastAsia="pl-PL"/>
        </w:rPr>
        <w:t>wskazać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, że pomimo, iż niektóre ustawy wpro</w:t>
      </w:r>
      <w:r w:rsidR="00711F38">
        <w:rPr>
          <w:rFonts w:ascii="Arial" w:eastAsia="Times New Roman" w:hAnsi="Arial" w:cs="Arial"/>
          <w:sz w:val="20"/>
          <w:szCs w:val="20"/>
          <w:lang w:eastAsia="pl-PL"/>
        </w:rPr>
        <w:t>st przewidują jawność umów –</w:t>
      </w:r>
      <w:r w:rsidR="009973AD">
        <w:rPr>
          <w:rFonts w:ascii="Arial" w:eastAsia="Times New Roman" w:hAnsi="Arial" w:cs="Arial"/>
          <w:sz w:val="20"/>
          <w:szCs w:val="20"/>
          <w:lang w:eastAsia="pl-PL"/>
        </w:rPr>
        <w:t xml:space="preserve"> np.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ust</w:t>
      </w:r>
      <w:r w:rsidR="00711F38">
        <w:rPr>
          <w:rFonts w:ascii="Arial" w:eastAsia="Times New Roman" w:hAnsi="Arial" w:cs="Arial"/>
          <w:sz w:val="20"/>
          <w:szCs w:val="20"/>
          <w:lang w:eastAsia="pl-PL"/>
        </w:rPr>
        <w:t>awa z dnia 29 stycznia 2004 r. -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 Prawo zamówień publicznych </w:t>
      </w:r>
      <w:r w:rsidR="009973AD">
        <w:rPr>
          <w:rFonts w:ascii="Arial" w:eastAsia="Times New Roman" w:hAnsi="Arial" w:cs="Arial"/>
          <w:sz w:val="20"/>
          <w:szCs w:val="20"/>
          <w:lang w:eastAsia="pl-PL"/>
        </w:rPr>
        <w:t>w art. 139 ust. 3 stwierdza, że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umowy są jawne i podlegają udostępnianiu na zasadach określonych</w:t>
      </w:r>
      <w:r w:rsidR="009973AD">
        <w:rPr>
          <w:rFonts w:ascii="Arial" w:eastAsia="Times New Roman" w:hAnsi="Arial" w:cs="Arial"/>
          <w:sz w:val="20"/>
          <w:szCs w:val="20"/>
          <w:lang w:eastAsia="pl-PL"/>
        </w:rPr>
        <w:t xml:space="preserve"> w przepisach o dostępie do 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informacji publicznej – niemniej w żadnym wypadku nie wyklucza to zastosowania w zakresie takich umów art. 5 ust. 2 ustawy o dostępie do informacji publicznej. Wręcz odwrotnie, norma ta, również w zakresie wyłączenia udostępniania informacji objętej tajemnicą przedsiębiorstwa, znajduje odpowiednie zastosowanie na podstawie przywołanego art. 139 ust. 2 ustawy prawo zamówień publicznych. Tożsamy wniosek przedstawił Naczelny Sąd Administracyjny w wyroku z dnia 9 listopada 2011 r.(I OSK 1372/11), gdzie stwierdził, że </w:t>
      </w:r>
      <w:r w:rsidRPr="00F80CAC">
        <w:rPr>
          <w:rFonts w:ascii="Arial" w:eastAsia="Times New Roman" w:hAnsi="Arial" w:cs="Arial"/>
          <w:iCs/>
          <w:sz w:val="20"/>
          <w:szCs w:val="20"/>
          <w:lang w:eastAsia="pl-PL"/>
        </w:rPr>
        <w:t>zakres jawności umów w sprawach zamówień publicznych oraz stan ich realizacji determinują jedynie postanowienia ustawy o dostępie do informacji publicznej, a więc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F80CAC">
        <w:rPr>
          <w:rFonts w:ascii="Arial" w:eastAsia="Times New Roman" w:hAnsi="Arial" w:cs="Arial"/>
          <w:iCs/>
          <w:sz w:val="20"/>
          <w:szCs w:val="20"/>
          <w:lang w:eastAsia="pl-PL"/>
        </w:rPr>
        <w:t>jawność umów w sprawach zamówień publicznych</w:t>
      </w:r>
      <w:r w:rsidR="009973A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będzie podlegać ograniczeniu w </w:t>
      </w:r>
      <w:r w:rsidRPr="00F80CAC">
        <w:rPr>
          <w:rFonts w:ascii="Arial" w:eastAsia="Times New Roman" w:hAnsi="Arial" w:cs="Arial"/>
          <w:iCs/>
          <w:sz w:val="20"/>
          <w:szCs w:val="20"/>
          <w:lang w:eastAsia="pl-PL"/>
        </w:rPr>
        <w:t>zakresie i na zasadach określonych w przepisach o ochronie informacji niejawnych oraz o ochronie innych tajemnic ustawowo chronionych, w tym ze względu na</w:t>
      </w:r>
      <w:r w:rsidR="009973A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prywatność osoby fizycznej lub </w:t>
      </w:r>
      <w:r w:rsidRPr="00F80CAC">
        <w:rPr>
          <w:rFonts w:ascii="Arial" w:eastAsia="Times New Roman" w:hAnsi="Arial" w:cs="Arial"/>
          <w:iCs/>
          <w:sz w:val="20"/>
          <w:szCs w:val="20"/>
          <w:lang w:eastAsia="pl-PL"/>
        </w:rPr>
        <w:t>tajemnicę przedsiębiorcy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E0524A" w:rsidRDefault="00E0524A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lastRenderedPageBreak/>
        <w:t>Konkludując należy stwierdzić, że Wnioskodawca zwrócił się o udostępnienie informacji publicznej, która nie podlega udostępnieniu, podlega bowiem ochronie ze względu na tajemnicę przedsiębiorcy i biorąc pod uwagę art. 16 ustawy o dostępie do informacji publicznej, należało wydać decyzję o odmowie udostępnienia informacji publicznej.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Mając na uwadze powyższe argumenty Prezes Rady Ministrów postanowił jak na wstępie.</w:t>
      </w:r>
    </w:p>
    <w:p w:rsidR="00E0524A" w:rsidRDefault="00E0524A" w:rsidP="00F80CAC">
      <w:pPr>
        <w:spacing w:before="120" w:after="12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0524A" w:rsidRDefault="00E0524A" w:rsidP="00F80CAC">
      <w:pPr>
        <w:spacing w:before="120" w:after="12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b/>
          <w:sz w:val="20"/>
          <w:szCs w:val="20"/>
          <w:lang w:eastAsia="pl-PL"/>
        </w:rPr>
        <w:t>POUCZENIE</w:t>
      </w:r>
    </w:p>
    <w:p w:rsidR="00F80CAC" w:rsidRPr="00F80CAC" w:rsidRDefault="00F80CAC" w:rsidP="00F80CAC">
      <w:pPr>
        <w:spacing w:before="120" w:after="12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Od niniejszej decyzji stronie nie przysługuje odwołanie, jednakże na podstawie art. 127 § 3 ustawy z dnia 14 czerwca 1960 r. – Kodeks postępowania administracyjnego (Dz. U. z 2020 r. poz. 256 i 695), strona niezadowolona z decyzji może zwrócić się, w terminie czternastu dni od dnia doręczenia decyzji, do Prezesa Rady Ministrów z wnioskiem o ponowne rozpatrzenie sprawy albo, na podstawie art. 52 i 53 ustawy z dnia 30 sierpnia 2002 r. - Prawo o postępowaniu przed sądami administracyjnymi (Dz. U. z 2019 r. poz. 2325 z późn. zm.), wnieść skargę na niniejszą decyzję – za pośrednictwem Prezesa Rady Ministrów – do Wojewódzkiego Sądu Administracyjnego w Warszawie przy ul. Jasnej 2/4 w terminie 30 dni od dnia jej doręczenia. Wpis od skargi wynosi 200 zł.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Jednocześnie, na podstawie art. 243 ustawy z dnia 30 sierpnia 2002 r. - Prawo o postępowaniu przed sądami administracyjnymi, stronie przysługuje prawo złożenia wniosku o przyznanie prawa pomocy.</w:t>
      </w:r>
    </w:p>
    <w:p w:rsid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4"/>
          <w:szCs w:val="4"/>
          <w:lang w:eastAsia="pl-PL"/>
        </w:rPr>
      </w:pPr>
    </w:p>
    <w:p w:rsidR="00E0524A" w:rsidRPr="00F80CAC" w:rsidRDefault="00E0524A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4"/>
          <w:szCs w:val="4"/>
          <w:lang w:eastAsia="pl-PL"/>
        </w:rPr>
      </w:pPr>
    </w:p>
    <w:p w:rsidR="00F80CAC" w:rsidRDefault="00F80CAC" w:rsidP="006901A2">
      <w:pPr>
        <w:spacing w:before="120" w:after="120" w:line="360" w:lineRule="auto"/>
        <w:ind w:left="3119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 up. Prezesa Rady Ministrów</w:t>
      </w:r>
    </w:p>
    <w:p w:rsidR="006901A2" w:rsidRPr="006901A2" w:rsidRDefault="006901A2" w:rsidP="006901A2">
      <w:pPr>
        <w:spacing w:before="120" w:after="120" w:line="360" w:lineRule="auto"/>
        <w:ind w:left="3119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6901A2" w:rsidRDefault="006901A2" w:rsidP="006901A2">
      <w:pPr>
        <w:spacing w:after="120"/>
        <w:ind w:left="297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Aleksandra Wrochna</w:t>
      </w:r>
    </w:p>
    <w:p w:rsidR="006901A2" w:rsidRDefault="006901A2" w:rsidP="006901A2">
      <w:pPr>
        <w:spacing w:after="120"/>
        <w:ind w:left="297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Zastępca Dyrektora Departamentu Prawnego</w:t>
      </w:r>
    </w:p>
    <w:p w:rsidR="006901A2" w:rsidRPr="004268CF" w:rsidRDefault="006901A2" w:rsidP="006901A2">
      <w:pPr>
        <w:spacing w:after="120"/>
        <w:ind w:left="2977" w:firstLine="567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/podpisano kwalifikowanym podpisem elektronicznym</w:t>
      </w:r>
      <w:r w:rsidRPr="004268CF">
        <w:rPr>
          <w:rFonts w:ascii="Arial" w:hAnsi="Arial"/>
          <w:sz w:val="20"/>
        </w:rPr>
        <w:t>/</w:t>
      </w:r>
    </w:p>
    <w:p w:rsidR="00F80CAC" w:rsidRPr="00F80CAC" w:rsidRDefault="00F80CAC" w:rsidP="00F80CAC">
      <w:pPr>
        <w:spacing w:before="120" w:after="120" w:line="360" w:lineRule="auto"/>
        <w:ind w:left="3119"/>
        <w:jc w:val="center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ind w:left="3119"/>
        <w:jc w:val="center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u w:val="single"/>
          <w:lang w:eastAsia="pl-PL"/>
        </w:rPr>
        <w:t>Otrzymują</w:t>
      </w:r>
      <w:r w:rsidRPr="00F80CAC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:rsidR="00F80CAC" w:rsidRPr="00F80CAC" w:rsidRDefault="00F80CAC" w:rsidP="00F80CAC">
      <w:pPr>
        <w:numPr>
          <w:ilvl w:val="0"/>
          <w:numId w:val="2"/>
        </w:numPr>
        <w:autoSpaceDE w:val="0"/>
        <w:autoSpaceDN w:val="0"/>
        <w:adjustRightInd w:val="0"/>
        <w:spacing w:before="120" w:after="120" w:line="360" w:lineRule="auto"/>
        <w:ind w:left="527" w:hanging="357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Sieć Obywatelska – Watchdog Polska - ul. Ursynowska 22/2, 02-605 Warszawa;</w:t>
      </w:r>
    </w:p>
    <w:p w:rsidR="00F80CAC" w:rsidRPr="006901A2" w:rsidRDefault="00F80CAC" w:rsidP="006901A2">
      <w:pPr>
        <w:numPr>
          <w:ilvl w:val="0"/>
          <w:numId w:val="2"/>
        </w:numPr>
        <w:spacing w:before="120" w:after="120" w:line="360" w:lineRule="auto"/>
        <w:ind w:left="527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a/a.</w:t>
      </w:r>
    </w:p>
    <w:p w:rsidR="00F80CAC" w:rsidRPr="00F80CAC" w:rsidRDefault="00F80CAC" w:rsidP="00F80CAC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F80CAC" w:rsidRPr="00F80CAC" w:rsidRDefault="00F80CAC" w:rsidP="00F80CAC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80CA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Klauzula informacyjna w związku z przetwarzaniem danych osobowych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Informacje i dane do kontaktów w sprawie danych osobowych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Administrator Danych, Kancelaria Prezesa Rady Ministrów, Aleje Ujazdowskie 1/3, 00-583, Warszawa, e-mail: AD@kprm.gov.pl.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Dane kontaktowe do Inspektora Ochrony Danych: Inspektor Ochrony Danych, Kancelaria Prezesa Rady Ministrów, Aleje Ujazdowskie 1/3, 00-583, Warszawa, e-mail: IOD@kprm.gov.pl.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80CA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Informacje dotyczące przetwarzanych danych osobowych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Celem przetwarzania danych jest przeprowadzenie przewidzianej prawem procedury administracyjnej w Pana/Pani sprawie na podstawie przepisów ustawy o dostępie do informacji publicznej oraz Kodeksu postępowania administracyjnego oraz wypełnienie obowiązku archiwizacyjnego.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Podstawą prawną przetwarzania danych jest obowiązek prawny ciążący na administratorze danych (art. 6 ust. 1 lit. c RODO), w tym wynikający z przepisów Kodeksu postępowania administracyjnego oraz ustawy o narodowym zasobie archiwalnym i archiwach.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Dane osobowe będą przetwarzane przez okres prowadzenia przewidzianej prawem procedury administracyjnej oraz po jej zakończeniu zgodnie z przepisami dotyczącymi archiwizacji.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Podanie danych osobowych jest wymogiem ustawowym, a konsekwencją ich niepodania może być brak możliwości rozpoznania Pana/Pani sprawy.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 xml:space="preserve">Źródła danych 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Przetwarzane dane osobowe mogą być pozyskiwane od osoby, której dane dotyczą, a także ze źródeł publicznie dostępnych oraz od organów administracji państwowej, innych podmiotów i osób fizycznych zobowiązanych do przekazania danych osobowych.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 xml:space="preserve">Kategorie odnośnych danych 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Przetwarzane dane osobowe obejmują w szczególności imię i nazwisko oraz adres, a także inne dane osobowe niezbędne do realizacji celu przetwarzania danych osobowych.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80CA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Odbiorcy danych osobowych</w:t>
      </w:r>
    </w:p>
    <w:p w:rsidR="00F80CAC" w:rsidRPr="00F80CAC" w:rsidRDefault="00F80CAC" w:rsidP="00F80CAC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Dane osobowe zostaną powierzone do przetwarzania podmiotom przetwarzającym dane w imieniu administratora danych osobowych, posiadających uprawnienia do ich przetwarzania, w tym Centrum Obsługi Administracji Rządowej.</w:t>
      </w:r>
    </w:p>
    <w:p w:rsidR="00F80CAC" w:rsidRPr="00F80CAC" w:rsidRDefault="00F80CAC" w:rsidP="00F80CAC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Dane osobowe mogą być przekazywane do organów publicznych i urzędów państwowych lub innych podmiotów upoważnionych na podstawie przepisów prawa lub wykonujących zadania realizowane w interesie publicznym lub w ramach sprawowania władzy publicznej.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Dane osobowe nie będą przekazane do państwa trzeciego lub organizacji międzynarodowej. 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80CA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Prawa osoby, której dane dotyczą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Przysługuje Pani/Panu prawo do żądania od Administratora Danych dostępu do swoich danych osobowych, ich sprostowania, usunięcia lub ograniczenia ich przetwarzania.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Żądanie realizacji wyżej wymienionych praw proszę przesłać w formie pisemnej do Administratora Danych (adres podany na wstępie, z dopiskiem „Ochrona danych osobowych”).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 xml:space="preserve">Przysługuje Pani/Panu prawo do wniesienia skargi do Prezesa Urzędu Ochrony Danych Osobowych. 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80CA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Informacje o zautomatyzowanym podejmowaniu decyzji, w tym profilowaniu</w:t>
      </w:r>
    </w:p>
    <w:p w:rsidR="00F80CAC" w:rsidRPr="00F80CAC" w:rsidRDefault="00F80CAC" w:rsidP="00F80CAC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80CAC">
        <w:rPr>
          <w:rFonts w:ascii="Arial" w:eastAsia="Times New Roman" w:hAnsi="Arial" w:cs="Arial"/>
          <w:sz w:val="20"/>
          <w:szCs w:val="20"/>
          <w:lang w:eastAsia="pl-PL"/>
        </w:rPr>
        <w:t>Dane osobowe nie będą podlegały zautomatyzowanemu podejmowaniu decyzji, w tym profilowaniu.</w:t>
      </w:r>
    </w:p>
    <w:p w:rsidR="00F80CAC" w:rsidRPr="00F80CAC" w:rsidRDefault="00F80CAC" w:rsidP="00F80CAC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BD61DA" w:rsidRPr="00151EF3" w:rsidRDefault="00BD61DA" w:rsidP="00151EF3"/>
    <w:sectPr w:rsidR="00BD61DA" w:rsidRPr="00151EF3" w:rsidSect="00E0524A">
      <w:footerReference w:type="default" r:id="rId8"/>
      <w:headerReference w:type="first" r:id="rId9"/>
      <w:footerReference w:type="first" r:id="rId10"/>
      <w:pgSz w:w="11906" w:h="16838"/>
      <w:pgMar w:top="1560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306" w:rsidRDefault="00FC1306" w:rsidP="00C32E18">
      <w:pPr>
        <w:spacing w:after="0" w:line="240" w:lineRule="auto"/>
      </w:pPr>
      <w:r>
        <w:separator/>
      </w:r>
    </w:p>
  </w:endnote>
  <w:endnote w:type="continuationSeparator" w:id="0">
    <w:p w:rsidR="00FC1306" w:rsidRDefault="00FC1306" w:rsidP="00C32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DFF" w:rsidRDefault="00D25DFF" w:rsidP="00D25DFF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0230033"/>
      <w:docPartObj>
        <w:docPartGallery w:val="Page Numbers (Bottom of Page)"/>
        <w:docPartUnique/>
      </w:docPartObj>
    </w:sdtPr>
    <w:sdtEndPr/>
    <w:sdtContent>
      <w:p w:rsidR="00D25DFF" w:rsidRDefault="00D25DF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4BB">
          <w:rPr>
            <w:noProof/>
          </w:rPr>
          <w:t>1</w:t>
        </w:r>
        <w:r>
          <w:fldChar w:fldCharType="end"/>
        </w:r>
      </w:p>
    </w:sdtContent>
  </w:sdt>
  <w:p w:rsidR="00D25DFF" w:rsidRDefault="00D25D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306" w:rsidRDefault="00FC1306" w:rsidP="00C32E18">
      <w:pPr>
        <w:spacing w:after="0" w:line="240" w:lineRule="auto"/>
      </w:pPr>
      <w:r>
        <w:separator/>
      </w:r>
    </w:p>
  </w:footnote>
  <w:footnote w:type="continuationSeparator" w:id="0">
    <w:p w:rsidR="00FC1306" w:rsidRDefault="00FC1306" w:rsidP="00C32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CAC" w:rsidRDefault="00F80CA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455C7487" wp14:editId="06EF2F25">
          <wp:simplePos x="0" y="0"/>
          <wp:positionH relativeFrom="column">
            <wp:posOffset>-2738120</wp:posOffset>
          </wp:positionH>
          <wp:positionV relativeFrom="paragraph">
            <wp:posOffset>-449580</wp:posOffset>
          </wp:positionV>
          <wp:extent cx="10121900" cy="14434185"/>
          <wp:effectExtent l="0" t="0" r="0" b="5715"/>
          <wp:wrapNone/>
          <wp:docPr id="10" name="Obraz 10" descr="C:\Users\jmichalski\Desktop\Blankiet_A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michalski\Desktop\Blankiet_A4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532" t="-36" r="8532" b="36"/>
                  <a:stretch/>
                </pic:blipFill>
                <pic:spPr bwMode="auto">
                  <a:xfrm>
                    <a:off x="0" y="0"/>
                    <a:ext cx="10121900" cy="1443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D00A4"/>
    <w:multiLevelType w:val="hybridMultilevel"/>
    <w:tmpl w:val="71125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05CBB"/>
    <w:multiLevelType w:val="hybridMultilevel"/>
    <w:tmpl w:val="43B878F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85B1243"/>
    <w:multiLevelType w:val="hybridMultilevel"/>
    <w:tmpl w:val="8304C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18"/>
    <w:rsid w:val="00151EF3"/>
    <w:rsid w:val="004552D9"/>
    <w:rsid w:val="004E57DC"/>
    <w:rsid w:val="0054098E"/>
    <w:rsid w:val="006901A2"/>
    <w:rsid w:val="00711F38"/>
    <w:rsid w:val="00971432"/>
    <w:rsid w:val="009973AD"/>
    <w:rsid w:val="009F5569"/>
    <w:rsid w:val="00B82093"/>
    <w:rsid w:val="00BD61DA"/>
    <w:rsid w:val="00C32E18"/>
    <w:rsid w:val="00C534BB"/>
    <w:rsid w:val="00CA20FE"/>
    <w:rsid w:val="00CE6916"/>
    <w:rsid w:val="00D25DFF"/>
    <w:rsid w:val="00E0524A"/>
    <w:rsid w:val="00F80CAC"/>
    <w:rsid w:val="00FC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E7F058"/>
  <w15:docId w15:val="{F23DE342-C550-4A11-82CB-3096F6B5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2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E18"/>
  </w:style>
  <w:style w:type="paragraph" w:styleId="Stopka">
    <w:name w:val="footer"/>
    <w:basedOn w:val="Normalny"/>
    <w:link w:val="StopkaZnak"/>
    <w:uiPriority w:val="99"/>
    <w:unhideWhenUsed/>
    <w:rsid w:val="00C32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E18"/>
  </w:style>
  <w:style w:type="paragraph" w:styleId="Tekstdymka">
    <w:name w:val="Balloon Text"/>
    <w:basedOn w:val="Normalny"/>
    <w:link w:val="TekstdymkaZnak"/>
    <w:uiPriority w:val="99"/>
    <w:semiHidden/>
    <w:unhideWhenUsed/>
    <w:rsid w:val="00C32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E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05C46-C997-409C-95B3-F657A21B5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2240</Words>
  <Characters>13440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Obsługi Administracji Rządowej</Company>
  <LinksUpToDate>false</LinksUpToDate>
  <CharactersWithSpaces>15649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jmichalski</dc:creator>
  <cp:lastModifiedBy>AA</cp:lastModifiedBy>
  <cp:revision>11</cp:revision>
  <cp:lastPrinted>2020-03-16T15:31:00Z</cp:lastPrinted>
  <dcterms:created xsi:type="dcterms:W3CDTF">2020-03-16T16:01:00Z</dcterms:created>
  <dcterms:modified xsi:type="dcterms:W3CDTF">2020-05-18T07:23:00Z</dcterms:modified>
</cp:coreProperties>
</file>