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216E25" w14:textId="77777777" w:rsidR="0068459D" w:rsidRDefault="0068459D" w:rsidP="0068459D">
      <w:pPr>
        <w:pStyle w:val="NormalnyWeb"/>
        <w:spacing w:before="0" w:beforeAutospacing="0" w:after="0" w:afterAutospacing="0" w:line="276" w:lineRule="auto"/>
        <w:ind w:left="720"/>
        <w:jc w:val="both"/>
        <w:rPr>
          <w:rFonts w:ascii="Calibri" w:hAnsi="Calibri" w:cs="Calibri"/>
          <w:sz w:val="22"/>
          <w:szCs w:val="22"/>
        </w:rPr>
      </w:pPr>
      <w:r>
        <w:t xml:space="preserve">Postanowienie Sądu Okręgowego w Warszawie z 16 grudnia 2017 r., sygn. akt VIII </w:t>
      </w:r>
      <w:proofErr w:type="spellStart"/>
      <w:r>
        <w:t>Kp</w:t>
      </w:r>
      <w:proofErr w:type="spellEnd"/>
      <w:r>
        <w:t xml:space="preserve"> 1335/17:</w:t>
      </w:r>
    </w:p>
    <w:p w14:paraId="458B60E6" w14:textId="77777777" w:rsidR="0068459D" w:rsidRDefault="0068459D" w:rsidP="0068459D">
      <w:pPr>
        <w:pStyle w:val="NormalnyWeb"/>
        <w:spacing w:before="0" w:beforeAutospacing="0" w:after="0" w:afterAutospacing="0" w:line="276" w:lineRule="auto"/>
        <w:ind w:left="720"/>
        <w:jc w:val="both"/>
        <w:rPr>
          <w:rFonts w:ascii="Calibri" w:hAnsi="Calibri" w:cs="Calibri"/>
          <w:sz w:val="22"/>
          <w:szCs w:val="22"/>
        </w:rPr>
      </w:pPr>
      <w:r>
        <w:t> </w:t>
      </w:r>
    </w:p>
    <w:p w14:paraId="0F114122" w14:textId="77777777" w:rsidR="0068459D" w:rsidRDefault="0068459D" w:rsidP="0068459D">
      <w:pPr>
        <w:pStyle w:val="NormalnyWeb"/>
        <w:spacing w:before="0" w:beforeAutospacing="0" w:after="0" w:afterAutospacing="0" w:line="276" w:lineRule="auto"/>
        <w:ind w:left="720"/>
        <w:jc w:val="both"/>
        <w:rPr>
          <w:rFonts w:ascii="Calibri" w:hAnsi="Calibri" w:cs="Calibri"/>
          <w:sz w:val="22"/>
          <w:szCs w:val="22"/>
        </w:rPr>
      </w:pPr>
      <w:r>
        <w:rPr>
          <w:i/>
          <w:iCs/>
        </w:rPr>
        <w:t xml:space="preserve">Depozycje wymienionych osób znajdują potwierdzenie nie tylko w materiale dowodowym w postaci nagrań z Sali Kolumnowej, pochodzących zarówno z zainstalowanego tam monitoringu (k. 1799-1816, 2038-2045) jak i wykonanych przez posłów (...) (k. 2127- 2130) oraz partii opozycyjnych (k. 567-568, 2260- 2263), Sprawozdania Stenograficznego z 33. Posiedzenia Sejmu Rzeczypospolitej Polskiej z dnia 16 grudnia 2016 r. (str. 64 i nast. , k. 297 -301 Załącznika nr 1, t. II), ale także zeznań kolejnych przesłuchanych świadków. Przesądzające – w ocenie Sądu Okręgowego – są zeznania posłów (...). Dowodzą one bez cienia wątpliwości, że większość parlamentarna w sposób zaplanowany, zdecydowany i konsekwentny naruszyła reguły konstytucyjne, dotyczące zarówno wymogu rozpatrywania projektu ustawy w trzech czytaniach (art. 119 ust.1 Konstytucji), jak i gwarancji statusu posła jako przedstawiciela Narodu (art. 104 ust.1 i 2 Konstytucji), podlegającego ochronie prawnej, zapewnionej przez Konstytucję </w:t>
      </w:r>
      <w:proofErr w:type="gramStart"/>
      <w:r>
        <w:rPr>
          <w:i/>
          <w:iCs/>
        </w:rPr>
        <w:t>( art.</w:t>
      </w:r>
      <w:proofErr w:type="gramEnd"/>
      <w:r>
        <w:rPr>
          <w:i/>
          <w:iCs/>
        </w:rPr>
        <w:t xml:space="preserve"> 106) i ustawę z 1996 r. o wykonywaniu mandatu posła senatora</w:t>
      </w:r>
      <w:r>
        <w:t>.</w:t>
      </w:r>
    </w:p>
    <w:p w14:paraId="23FC6635" w14:textId="77777777" w:rsidR="0068459D" w:rsidRDefault="0068459D" w:rsidP="0068459D">
      <w:pPr>
        <w:pStyle w:val="NormalnyWeb"/>
        <w:spacing w:before="0" w:beforeAutospacing="0" w:after="0" w:afterAutospacing="0" w:line="276" w:lineRule="auto"/>
        <w:ind w:left="720"/>
        <w:jc w:val="both"/>
        <w:rPr>
          <w:rFonts w:ascii="Calibri" w:hAnsi="Calibri" w:cs="Calibri"/>
          <w:sz w:val="22"/>
          <w:szCs w:val="22"/>
        </w:rPr>
      </w:pPr>
      <w:r>
        <w:rPr>
          <w:i/>
          <w:iCs/>
        </w:rPr>
        <w:t xml:space="preserve">Nie budzi wątpliwości, że posłowie opozycji składali wnioski formalne. Świadczą o tym przede wszystkim zeznania: C. T. (1) </w:t>
      </w:r>
      <w:proofErr w:type="gramStart"/>
      <w:r>
        <w:rPr>
          <w:i/>
          <w:iCs/>
        </w:rPr>
        <w:t>( k.</w:t>
      </w:r>
      <w:proofErr w:type="gramEnd"/>
      <w:r>
        <w:rPr>
          <w:i/>
          <w:iCs/>
        </w:rPr>
        <w:t xml:space="preserve"> 1420 -1422), S. N. ( k. 2385-2387), A. S. (8) ( k. 2049 -2050), M. S. (3) ( k. 2080 -2081), K. T. (2) ( k. 2083-2084), Z. S. ( 2089 -2090), M. G. (3) ( k. 2220- 2221), R. W. (2) ( k. 2267-2268), P. K. (4) ( k. 2270-2271), A. P. (3) (k. 2275 – 2280), E. R. (2) ( k. 2320- 2321), J. M. (5) ( k. 2344-2348), P. M. (k. 2357-2361). Fakt składania wniosków potwierdzają: nagrania z Sali Kolumnowej (k. 1799-1816, 2038-2045 oraz k. 567-568, 2260- 2263), a także Sprawozdania Stenograficznego z 33. Posiedzenia Sejmu Rzeczypospolitej Polskiej z dnia 16 grudnia 2016 r. ( str. 64 i nast. , k. 297 -301 Załącznika nr 1, t. II ); jak również zeznania samego Marszałka M. K. (1) ( k. 1827) oraz posłów: K. Ł. ( k. 425), J. D. (1) ( k. 634), B. B. (1) (k. 893), J. L. (2) ( k. 1085v), A. S. (4) ( k. 1099v.), A. R. (2) ( k. 1117), P. C. (1) ( k. 1332), D. T. ( k. 1374 ), K. M. (5) ( k. 1403), Ł. R. ( k. 1416v.), A. M. (3) ( k. 1645), G. P. (1) ( k. 1683-16840), K. O. ( k. 1702), W. M. ( k. 1795), K. M. (4) ( k. 1379), J. K. (3) ( k. 661-662 ), czy urzędniczki Z. W. ( k. 406). Niewątpliwie zatem głosy posłów (...), (...) i (...) były na Sali Kolumnowej słyszalne, ale zostały przez Marszałka Sejmu całkowicie zbagatelizowane. Nadto, ignorowanym posłom opozycji fizycznie uniemożliwiono przedostanie się w stronę stołu prezydialnego.</w:t>
      </w:r>
    </w:p>
    <w:p w14:paraId="24E9C337" w14:textId="77777777" w:rsidR="0068459D" w:rsidRDefault="0068459D" w:rsidP="0068459D">
      <w:pPr>
        <w:pStyle w:val="NormalnyWeb"/>
        <w:spacing w:before="0" w:beforeAutospacing="0" w:after="0" w:afterAutospacing="0" w:line="276" w:lineRule="auto"/>
        <w:ind w:left="720"/>
        <w:jc w:val="both"/>
        <w:rPr>
          <w:rFonts w:ascii="Calibri" w:hAnsi="Calibri" w:cs="Calibri"/>
          <w:sz w:val="22"/>
          <w:szCs w:val="22"/>
        </w:rPr>
      </w:pPr>
      <w:r>
        <w:rPr>
          <w:i/>
          <w:iCs/>
        </w:rPr>
        <w:t xml:space="preserve">W art. 61 ust. 1 Konstytucji RP zostało określone powszechne obywatelskie prawo dostępu do informacji o działalności organów władzy publicznej oraz osób pełniących funkcje publiczne. Korelatem tego prawa podmiotowego jest spoczywający przede wszystkim na organach władzy publicznej obowiązek udzielania obywatelom określonych informacji o działalności instytucji </w:t>
      </w:r>
      <w:proofErr w:type="gramStart"/>
      <w:r>
        <w:rPr>
          <w:i/>
          <w:iCs/>
        </w:rPr>
        <w:t>( wyrok</w:t>
      </w:r>
      <w:proofErr w:type="gramEnd"/>
      <w:r>
        <w:rPr>
          <w:i/>
          <w:iCs/>
        </w:rPr>
        <w:t xml:space="preserve"> WSA w Warszawie z dnia 30 sierpnia 2017 </w:t>
      </w:r>
      <w:proofErr w:type="spellStart"/>
      <w:r>
        <w:rPr>
          <w:i/>
          <w:iCs/>
        </w:rPr>
        <w:t>r.,II</w:t>
      </w:r>
      <w:proofErr w:type="spellEnd"/>
      <w:r>
        <w:rPr>
          <w:i/>
          <w:iCs/>
        </w:rPr>
        <w:t xml:space="preserve"> SA/</w:t>
      </w:r>
      <w:proofErr w:type="spellStart"/>
      <w:r>
        <w:rPr>
          <w:i/>
          <w:iCs/>
        </w:rPr>
        <w:t>Wa</w:t>
      </w:r>
      <w:proofErr w:type="spellEnd"/>
      <w:r>
        <w:rPr>
          <w:i/>
          <w:iCs/>
        </w:rPr>
        <w:t xml:space="preserve"> 252/17, LEX nr 2350832).</w:t>
      </w:r>
    </w:p>
    <w:p w14:paraId="36F2E528" w14:textId="77777777" w:rsidR="0068459D" w:rsidRDefault="0068459D" w:rsidP="0068459D">
      <w:pPr>
        <w:pStyle w:val="NormalnyWeb"/>
        <w:spacing w:before="0" w:beforeAutospacing="0" w:after="0" w:afterAutospacing="0" w:line="276" w:lineRule="auto"/>
        <w:ind w:left="720"/>
        <w:jc w:val="both"/>
        <w:rPr>
          <w:rFonts w:ascii="Calibri" w:hAnsi="Calibri" w:cs="Calibri"/>
          <w:sz w:val="22"/>
          <w:szCs w:val="22"/>
        </w:rPr>
      </w:pPr>
      <w:r>
        <w:rPr>
          <w:i/>
          <w:iCs/>
        </w:rPr>
        <w:t xml:space="preserve">Trybunał Konstytucyjny wielokrotnie podkreślał w swoim orzecznictwie, że powszechny i szeroki dostęp do informacji publicznej stanowi niezbędną przesłankę istnienia społeczeństwa obywatelskiego, a tym samym urzeczywistniania demokratycznych zasad funkcjonowania władzy publicznej w państwie prawnym (zob. wyrok TK z dnia 7 </w:t>
      </w:r>
      <w:r>
        <w:rPr>
          <w:i/>
          <w:iCs/>
        </w:rPr>
        <w:lastRenderedPageBreak/>
        <w:t>czerwca 2016 r., K 8/15, OTK-A 2016, poz. 27, wyrok TK z dnia 10 lutego 2015 r., sygn. SK 50/13, OTK ZU 2015/2/A, poz. 12; wyrok TK z dnia 15 października 2009 r., sygn. K 26/08, OTK-A 2009, nr 9, poz. 135).</w:t>
      </w:r>
    </w:p>
    <w:p w14:paraId="1F4DF0A5" w14:textId="77777777" w:rsidR="0068459D" w:rsidRDefault="0068459D" w:rsidP="0068459D">
      <w:pPr>
        <w:pStyle w:val="NormalnyWeb"/>
        <w:spacing w:before="0" w:beforeAutospacing="0" w:after="0" w:afterAutospacing="0" w:line="276" w:lineRule="auto"/>
        <w:ind w:left="720"/>
        <w:jc w:val="both"/>
        <w:rPr>
          <w:rFonts w:ascii="Calibri" w:hAnsi="Calibri" w:cs="Calibri"/>
          <w:sz w:val="22"/>
          <w:szCs w:val="22"/>
        </w:rPr>
      </w:pPr>
      <w:r>
        <w:rPr>
          <w:i/>
          <w:iCs/>
        </w:rPr>
        <w:t xml:space="preserve">Prawo do informacji publicznej to prawo do informacji o działalności podmiotów wskazanych w Konstytucji RP, tj. o takiej aktywności tych podmiotów, która ukierunkowana jest na wypełnianie określonych zadań publicznych i realizowanie określonych interesów i celów publicznych </w:t>
      </w:r>
      <w:proofErr w:type="gramStart"/>
      <w:r>
        <w:rPr>
          <w:i/>
          <w:iCs/>
        </w:rPr>
        <w:t>( wyrok</w:t>
      </w:r>
      <w:proofErr w:type="gramEnd"/>
      <w:r>
        <w:rPr>
          <w:i/>
          <w:iCs/>
        </w:rPr>
        <w:t xml:space="preserve"> NSA z dnia 5 października 2017 </w:t>
      </w:r>
      <w:proofErr w:type="spellStart"/>
      <w:r>
        <w:rPr>
          <w:i/>
          <w:iCs/>
        </w:rPr>
        <w:t>r.,I</w:t>
      </w:r>
      <w:proofErr w:type="spellEnd"/>
      <w:r>
        <w:rPr>
          <w:i/>
          <w:iCs/>
        </w:rPr>
        <w:t xml:space="preserve"> OSK 3255/15, LEX nr 2376277).</w:t>
      </w:r>
    </w:p>
    <w:p w14:paraId="0C15BDDD" w14:textId="77777777" w:rsidR="0068459D" w:rsidRDefault="0068459D" w:rsidP="0068459D">
      <w:pPr>
        <w:pStyle w:val="NormalnyWeb"/>
        <w:spacing w:before="0" w:beforeAutospacing="0" w:after="0" w:afterAutospacing="0" w:line="276" w:lineRule="auto"/>
        <w:ind w:left="720"/>
        <w:jc w:val="both"/>
        <w:rPr>
          <w:rFonts w:ascii="Calibri" w:hAnsi="Calibri" w:cs="Calibri"/>
          <w:sz w:val="22"/>
          <w:szCs w:val="22"/>
        </w:rPr>
      </w:pPr>
      <w:r>
        <w:rPr>
          <w:i/>
          <w:iCs/>
        </w:rPr>
        <w:t xml:space="preserve">Konstytucyjne prawo do informacji publicznej winno służyć jak najszerszemu obywatelskiemu dostępowi do danych publicznych. Zatem normy regulujące zarówno tryb, jak i zasady dostępu do informacji publicznej winny być wykładane z poszanowaniem podstawowej reguły in dubio pro </w:t>
      </w:r>
      <w:proofErr w:type="spellStart"/>
      <w:r>
        <w:rPr>
          <w:i/>
          <w:iCs/>
        </w:rPr>
        <w:t>libertate</w:t>
      </w:r>
      <w:proofErr w:type="spellEnd"/>
      <w:r>
        <w:rPr>
          <w:i/>
          <w:iCs/>
        </w:rPr>
        <w:t xml:space="preserve">. Zasada jawności życia publicznego i transparentności działań władzy publicznej, które to zasady legły u podstaw obywatelskiego prawa do informacji publicznej, realizowanego w trybie przepisów ustawy o dostępie do informacji publicznej, mają bowiem sprzyjać sprawowaniu społecznej kontroli przez wszystkich obywateli </w:t>
      </w:r>
      <w:proofErr w:type="gramStart"/>
      <w:r>
        <w:rPr>
          <w:i/>
          <w:iCs/>
        </w:rPr>
        <w:t>( wyrok</w:t>
      </w:r>
      <w:proofErr w:type="gramEnd"/>
      <w:r>
        <w:rPr>
          <w:i/>
          <w:iCs/>
        </w:rPr>
        <w:t xml:space="preserve"> WSA w Krakowie z dnia 12 września 2016 r., II SA/Kr 747/16, LEX nr 2120629).</w:t>
      </w:r>
    </w:p>
    <w:p w14:paraId="39218B8C" w14:textId="77777777" w:rsidR="0068459D" w:rsidRDefault="0068459D" w:rsidP="0068459D">
      <w:pPr>
        <w:pStyle w:val="NormalnyWeb"/>
        <w:spacing w:before="0" w:beforeAutospacing="0" w:after="0" w:afterAutospacing="0" w:line="276" w:lineRule="auto"/>
        <w:ind w:left="720"/>
        <w:jc w:val="both"/>
        <w:rPr>
          <w:rFonts w:ascii="Calibri" w:hAnsi="Calibri" w:cs="Calibri"/>
          <w:sz w:val="22"/>
          <w:szCs w:val="22"/>
        </w:rPr>
      </w:pPr>
      <w:r>
        <w:rPr>
          <w:i/>
          <w:iCs/>
        </w:rPr>
        <w:t>Prawo do informacji w demokratycznym państwie prawnym służy zapewnieniu, aby władza publiczna, we wszystkich postaciach i aspektach, spełniała warunek przejrzystości. Przedmiotem informacji publicznej jest zatem, po pierwsze, cała działalność wszystkich organów wymienionych w art. 61 ust. 1 Konstytucji, zaś po drugie, działalność osób pełniących funkcje publiczne, lecz - ze względu na art. 47 Konstytucji - tylko taka, która wiąże się z pełnionymi przez te osoby funkcjami publicznymi (zob. wyrok TK z dnia 12 maja 2008 r., sygn. SK 43/05, OTK ZU 2008, nr 4, poz. 57; wyrok TK z dnia 9 kwietnia 2015 r., sygn. K 14/13, OTK ZU 2015, nr 4, poz. 45).</w:t>
      </w:r>
    </w:p>
    <w:p w14:paraId="56F33F8B" w14:textId="77777777" w:rsidR="0068459D" w:rsidRDefault="0068459D" w:rsidP="0068459D">
      <w:pPr>
        <w:pStyle w:val="NormalnyWeb"/>
        <w:spacing w:before="0" w:beforeAutospacing="0" w:after="0" w:afterAutospacing="0" w:line="276" w:lineRule="auto"/>
        <w:ind w:left="720"/>
        <w:jc w:val="both"/>
        <w:rPr>
          <w:rFonts w:ascii="Calibri" w:hAnsi="Calibri" w:cs="Calibri"/>
          <w:sz w:val="22"/>
          <w:szCs w:val="22"/>
        </w:rPr>
      </w:pPr>
      <w:r>
        <w:rPr>
          <w:i/>
          <w:iCs/>
        </w:rPr>
        <w:t xml:space="preserve">Art. 61 Konstytucji RP łączy się funkcjonalnie z zasadą jawności posiedzeń Sejmu, o której mowa w art. 113 Konstytucji RP. </w:t>
      </w:r>
      <w:proofErr w:type="spellStart"/>
      <w:r>
        <w:rPr>
          <w:i/>
          <w:iCs/>
        </w:rPr>
        <w:t>Ustrojodawca</w:t>
      </w:r>
      <w:proofErr w:type="spellEnd"/>
      <w:r>
        <w:rPr>
          <w:i/>
          <w:iCs/>
        </w:rPr>
        <w:t xml:space="preserve"> zastrzegł przy tym, że jawność posiedzeń nie ma charakteru bezwzględnego i przewidział możliwość uchwalenia przez izbę tajności obrad. Podjęcie w tym zakresie stosownej uchwały jest uzależnione od wystąpienia określonej w komentowanym przepisie przesłanki "dobra państwa" oraz dopełnienia wymogu uzyskania poparcia bezwzględnej większości głosów w obecności co najmniej połowy ustawowej liczby posłów. W dniach 16-17 grudnia 2016 r. taka sytuacja nie miała jednak miejsca. </w:t>
      </w:r>
    </w:p>
    <w:p w14:paraId="4CD98E7D" w14:textId="77777777" w:rsidR="0068459D" w:rsidRDefault="0068459D" w:rsidP="0068459D">
      <w:pPr>
        <w:pStyle w:val="NormalnyWeb"/>
        <w:spacing w:before="0" w:beforeAutospacing="0" w:after="0" w:afterAutospacing="0" w:line="276" w:lineRule="auto"/>
        <w:ind w:left="720"/>
        <w:jc w:val="both"/>
        <w:rPr>
          <w:rFonts w:ascii="Calibri" w:hAnsi="Calibri" w:cs="Calibri"/>
          <w:sz w:val="22"/>
          <w:szCs w:val="22"/>
        </w:rPr>
      </w:pPr>
      <w:r>
        <w:rPr>
          <w:i/>
          <w:iCs/>
        </w:rPr>
        <w:t xml:space="preserve">Jawność posiedzeń izb jest przede wszystkim elementem przedstawicielskiego charakteru mandatu (art. 104 Konstytucji RP), a nawet warunkiem sine qua non funkcjonowania samej instytucji parlamentu. Podstawowym celem zasady jawności jest bowiem zapewnienie wyborcom możliwości obserwacji pracy parlamentarzystów i dokonania oceny postępowania ich przedstawicieli (L. Garlicki, Artykuł 104, w: Garlicki, Konstytucja, t. 2, s. 1; J. </w:t>
      </w:r>
      <w:proofErr w:type="spellStart"/>
      <w:r>
        <w:rPr>
          <w:i/>
          <w:iCs/>
        </w:rPr>
        <w:t>Repel</w:t>
      </w:r>
      <w:proofErr w:type="spellEnd"/>
      <w:r>
        <w:rPr>
          <w:i/>
          <w:iCs/>
        </w:rPr>
        <w:t xml:space="preserve">, w: J. Boć (red.), Konstytucje Rzeczypospolitej, s. 193). Zasada jawności posiedzeń jest także nieodłącznym elementem zasady demokratycznego państwa prawnego. Z jednej strony gwarantuje ona bowiem jawność procedury legislacyjnej, z drugiej zaś zapewnia obywatelskie prawo do informacji o posiedzeniach organu władzy. Oba wskazane aspekty jawności stanowią bez wątpienia </w:t>
      </w:r>
      <w:r>
        <w:rPr>
          <w:i/>
          <w:iCs/>
        </w:rPr>
        <w:lastRenderedPageBreak/>
        <w:t>gwarancję zasady zaufania do państwa i stanowionego przez nie prawa (zob. K. Górka, Jawność posiedzeń Sejmu i Senatu oraz jej ograniczenia w Konstytucji RP, Warszawa 2014, s. 87).</w:t>
      </w:r>
    </w:p>
    <w:p w14:paraId="513C26D4" w14:textId="77777777" w:rsidR="0068459D" w:rsidRDefault="0068459D" w:rsidP="0068459D">
      <w:pPr>
        <w:pStyle w:val="NormalnyWeb"/>
        <w:spacing w:before="0" w:beforeAutospacing="0" w:after="0" w:afterAutospacing="0" w:line="276" w:lineRule="auto"/>
        <w:ind w:left="720"/>
        <w:jc w:val="both"/>
        <w:rPr>
          <w:rFonts w:ascii="Calibri" w:hAnsi="Calibri" w:cs="Calibri"/>
          <w:sz w:val="22"/>
          <w:szCs w:val="22"/>
        </w:rPr>
      </w:pPr>
      <w:r>
        <w:rPr>
          <w:i/>
          <w:iCs/>
        </w:rPr>
        <w:t>W doktrynie podkreśla się, że na gruncie art. 113 Konstytucji RP należy przyjąć, iż zasada jawności posiedzeń Sejmu ma charakter zupełny (zob. L. Garlicki, Polskie prawo konstytucyjne, 2012, s. 211). Obejmuje ona bowiem: jawność prowadzonej debaty, jawność stawianych wniosków i przedłożeń oraz jawność głosowań [ich przebiegu, a także wyniku; tak A. Gwiżdż, w: A. Burda (red.), Sejm Polskiej Rzeczypospolitej Ludowej, s. 287], jawność podejmowanych uchwał oraz jawność dokumentów stanowiących przedmiot obrad Sejmu (tzn. dokumentów i materiałów dostarczanych na posiedzeniu wszystkim posłom). Konsekwencją tej zasady jest ponadto jawność dokumentów rejestrujących przebieg posiedzenia Sejmu.</w:t>
      </w:r>
    </w:p>
    <w:p w14:paraId="0BAA6F8E" w14:textId="77777777" w:rsidR="0068459D" w:rsidRDefault="0068459D" w:rsidP="0068459D">
      <w:pPr>
        <w:pStyle w:val="NormalnyWeb"/>
        <w:spacing w:before="0" w:beforeAutospacing="0" w:after="0" w:afterAutospacing="0" w:line="276" w:lineRule="auto"/>
        <w:ind w:left="720"/>
        <w:jc w:val="both"/>
        <w:rPr>
          <w:rFonts w:ascii="Calibri" w:hAnsi="Calibri" w:cs="Calibri"/>
          <w:sz w:val="22"/>
          <w:szCs w:val="22"/>
        </w:rPr>
      </w:pPr>
      <w:r>
        <w:rPr>
          <w:i/>
          <w:iCs/>
        </w:rPr>
        <w:t xml:space="preserve">Zasada jawności posiedzeń zobowiązuje izbę do zapewnienia takich warunków organizacyjno-technicznych, które umożliwią pełną realizację konstytucyjnego wymogu jawności. Podstawowe formy realizacji tej zasady określa Regulamin Sejmu. Art. 172 ust. 1 tego aktu powtarza za Konstytucją, że posiedzenia Sejmu są jawne. Następnie, w </w:t>
      </w:r>
      <w:proofErr w:type="spellStart"/>
      <w:r>
        <w:rPr>
          <w:i/>
          <w:iCs/>
        </w:rPr>
        <w:t>zd</w:t>
      </w:r>
      <w:proofErr w:type="spellEnd"/>
      <w:r>
        <w:rPr>
          <w:i/>
          <w:iCs/>
        </w:rPr>
        <w:t>. 2, wskazuje przykładowe (wynika to ze sformułowania "w szczególności") gwarancje jawności posiedzeń: wcześniejsze informowanie opinii publicznej o posiedzeniach Sejmu, umożliwienie prasie, radiu i telewizji sporządzania sprawozdań z posiedzeń Sejmu, umożliwienie publiczności obserwowania obrad.</w:t>
      </w:r>
    </w:p>
    <w:p w14:paraId="24865A94" w14:textId="77777777" w:rsidR="0068459D" w:rsidRDefault="0068459D" w:rsidP="0068459D">
      <w:pPr>
        <w:pStyle w:val="NormalnyWeb"/>
        <w:spacing w:before="0" w:beforeAutospacing="0" w:after="0" w:afterAutospacing="0" w:line="276" w:lineRule="auto"/>
        <w:ind w:left="720"/>
        <w:jc w:val="both"/>
        <w:rPr>
          <w:rFonts w:ascii="Calibri" w:hAnsi="Calibri" w:cs="Calibri"/>
          <w:sz w:val="22"/>
          <w:szCs w:val="22"/>
        </w:rPr>
      </w:pPr>
      <w:r>
        <w:rPr>
          <w:i/>
          <w:iCs/>
        </w:rPr>
        <w:t>Warto dodać, że możliwość szeroko pojętej rejestracji dźwięku lub obrazu oznacza, że na samą rejestrację organ (Sejm, Marszałek Sejmu) nie wydaje zgody. Możliwość rejestracji obrazu i dźwięku zakłada więc bezwzględny obowiązek stworzenia obserwatorom technicznych możliwości udziału i rejestracji obrad (wyrok WSA w Szczecinie z dnia 24 sierpnia 2017 r., II SAB/</w:t>
      </w:r>
      <w:proofErr w:type="spellStart"/>
      <w:r>
        <w:rPr>
          <w:i/>
          <w:iCs/>
        </w:rPr>
        <w:t>Sz</w:t>
      </w:r>
      <w:proofErr w:type="spellEnd"/>
      <w:r>
        <w:rPr>
          <w:i/>
          <w:iCs/>
        </w:rPr>
        <w:t xml:space="preserve"> 77/17, LEX nr 2359554; wyrok WSA w Łodzi z dnia 9 lipca 2008 r., II SA/</w:t>
      </w:r>
      <w:proofErr w:type="spellStart"/>
      <w:r>
        <w:rPr>
          <w:i/>
          <w:iCs/>
        </w:rPr>
        <w:t>Łd</w:t>
      </w:r>
      <w:proofErr w:type="spellEnd"/>
      <w:r>
        <w:rPr>
          <w:i/>
          <w:iCs/>
        </w:rPr>
        <w:t xml:space="preserve"> 89/08, LEX nr 602953). Obowiązkiem organizatora posiedzenia (Marszałka Sejmu) jest takie jego przeprowadzenie, które umożliwia udział publiczności oraz - co konieczne - wyznaczenie rozsądnej liczby miejsc dla przybyłych obserwatorów. Oczywistym jest, że podczas posiedzenia, które odbyło się 16 grudnia 2016 r. w Sali Kolumnowej wymienione warunki nie zostały zapewnione, co oznacza, że naruszono konstytucyjne prawa obywateli dostępu do informacji o działaniach organów władzy publicznej.</w:t>
      </w:r>
    </w:p>
    <w:p w14:paraId="514D97E3" w14:textId="77777777" w:rsidR="0068459D" w:rsidRDefault="0068459D" w:rsidP="0068459D">
      <w:pPr>
        <w:pStyle w:val="NormalnyWeb"/>
        <w:spacing w:before="0" w:beforeAutospacing="0" w:after="200" w:afterAutospacing="0" w:line="276" w:lineRule="auto"/>
        <w:ind w:left="720"/>
        <w:jc w:val="both"/>
        <w:rPr>
          <w:rFonts w:ascii="Calibri" w:hAnsi="Calibri" w:cs="Calibri"/>
          <w:sz w:val="22"/>
          <w:szCs w:val="22"/>
        </w:rPr>
      </w:pPr>
      <w:r>
        <w:rPr>
          <w:i/>
          <w:iCs/>
        </w:rPr>
        <w:t xml:space="preserve">W tym miejscu wypada przypomnieć, że przedmiotem ochrony art. 44 Prawa prasowego jest wolność prasy, słowa, wyrażania poglądów i prawo do społecznie pożądanej krytyki. Krytyką prasową jest rzetelne, zgodne z prawem i zasadami współżycia społecznego i prawem przedstawianie ujemnych ocen i zjawisk. Granice krytyki określają: Konstytucja, przepisy prawa prasowego, cywilnego i karnego, a także zasady współżycia społecznego. Czynność sprawcza występku umyślnego z art. 44 ust. 1 polega na „utrudnianiu" lub „tłumieniu". „Utrudnianie" to działania polegające na blokowaniu dostępu do informacji publicznej. Warto nadmienić, że przepis art. 23 ustawy z dnia 6 września 2001 r. o dostępie do informacji publicznej penalizuje zachowanie polegające na nieudostępnieniu jakiejkolwiek informacji o tym charakterze, nie zaś tylko takiej informacji publicznej, którą charakteryzuje przymiot większej wagi </w:t>
      </w:r>
      <w:proofErr w:type="gramStart"/>
      <w:r>
        <w:rPr>
          <w:i/>
          <w:iCs/>
        </w:rPr>
        <w:t>( postanowienie</w:t>
      </w:r>
      <w:proofErr w:type="gramEnd"/>
      <w:r>
        <w:rPr>
          <w:i/>
          <w:iCs/>
        </w:rPr>
        <w:t xml:space="preserve"> SN z dnia 20 lipca 2007 r., III KK 74/07, LEX nr 323657). Natomiast </w:t>
      </w:r>
      <w:r>
        <w:rPr>
          <w:i/>
          <w:iCs/>
        </w:rPr>
        <w:lastRenderedPageBreak/>
        <w:t xml:space="preserve">„tłumienie" prowadzi nie tyle do utrudniania krytyki prasowej, ile wręcz do jej wyeliminowania, choćby na danym odcinku czy odnośnie do konkretnego zagadnienia lub niewygodnego bądź kompromitującego faktu. Występek zarówno z ust. 1, jak i 2 art. 44 ma charakter </w:t>
      </w:r>
      <w:proofErr w:type="spellStart"/>
      <w:r>
        <w:rPr>
          <w:i/>
          <w:iCs/>
        </w:rPr>
        <w:t>bezskutkowy</w:t>
      </w:r>
      <w:proofErr w:type="spellEnd"/>
      <w:r>
        <w:rPr>
          <w:i/>
          <w:iCs/>
        </w:rPr>
        <w:t>. Do popełnienia przestępstwa dochodzi już w momencie zakończenia czynności sprawczej. Nie jest konieczne, aby sprawca osiągnął efekt w postaci utrudnienia krytyki prasowej bądź jej stłumienia.</w:t>
      </w:r>
    </w:p>
    <w:p w14:paraId="312B8616" w14:textId="77777777" w:rsidR="0068459D" w:rsidRDefault="0068459D"/>
    <w:sectPr w:rsidR="006845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59D"/>
    <w:rsid w:val="0068459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48114"/>
  <w15:chartTrackingRefBased/>
  <w15:docId w15:val="{90F4E35E-593A-405D-BAB6-428CE6F16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68459D"/>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983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1508</Words>
  <Characters>9051</Characters>
  <Application>Microsoft Office Word</Application>
  <DocSecurity>0</DocSecurity>
  <Lines>75</Lines>
  <Paragraphs>21</Paragraphs>
  <ScaleCrop>false</ScaleCrop>
  <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Bójko</dc:creator>
  <cp:keywords/>
  <dc:description/>
  <cp:lastModifiedBy>Marcin Bójko</cp:lastModifiedBy>
  <cp:revision>1</cp:revision>
  <dcterms:created xsi:type="dcterms:W3CDTF">2020-06-08T09:21:00Z</dcterms:created>
  <dcterms:modified xsi:type="dcterms:W3CDTF">2020-06-08T09:21:00Z</dcterms:modified>
</cp:coreProperties>
</file>