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BAA31" w14:textId="77777777" w:rsidR="001A77EC" w:rsidRPr="00846712" w:rsidRDefault="001A77EC">
      <w:pPr>
        <w:rPr>
          <w:lang w:val="en-US"/>
        </w:rPr>
      </w:pPr>
      <w:bookmarkStart w:id="0" w:name="_GoBack"/>
      <w:bookmarkEnd w:id="0"/>
    </w:p>
    <w:p w14:paraId="69DCFAD5" w14:textId="0A99030A" w:rsidR="001A77EC" w:rsidRPr="00846712" w:rsidRDefault="001A77EC" w:rsidP="001A77EC">
      <w:pPr>
        <w:spacing w:before="100" w:beforeAutospacing="1" w:after="100" w:afterAutospacing="1"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I OSK 1566/17 </w:t>
      </w:r>
      <w:r w:rsidR="003F208F"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w:t>
      </w:r>
      <w:r w:rsidR="003F208F" w:rsidRPr="00846712">
        <w:rPr>
          <w:rFonts w:ascii="Times New Roman" w:eastAsia="Times New Roman" w:hAnsi="Times New Roman" w:cs="Times New Roman"/>
          <w:sz w:val="24"/>
          <w:szCs w:val="24"/>
          <w:lang w:val="en-US" w:eastAsia="pl-PL"/>
        </w:rPr>
        <w:t>Judgment of the Supreme Administrative Court</w:t>
      </w:r>
    </w:p>
    <w:tbl>
      <w:tblPr>
        <w:tblW w:w="0" w:type="auto"/>
        <w:tblCellSpacing w:w="5" w:type="dxa"/>
        <w:tblCellMar>
          <w:left w:w="0" w:type="dxa"/>
          <w:right w:w="0" w:type="dxa"/>
        </w:tblCellMar>
        <w:tblLook w:val="04A0" w:firstRow="1" w:lastRow="0" w:firstColumn="1" w:lastColumn="0" w:noHBand="0" w:noVBand="1"/>
      </w:tblPr>
      <w:tblGrid>
        <w:gridCol w:w="2138"/>
        <w:gridCol w:w="5379"/>
      </w:tblGrid>
      <w:tr w:rsidR="001A77EC" w:rsidRPr="00846712" w14:paraId="226C8B29" w14:textId="77777777" w:rsidTr="001A77EC">
        <w:trPr>
          <w:tblCellSpacing w:w="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3"/>
            </w:tblGrid>
            <w:tr w:rsidR="001A77EC" w:rsidRPr="00846712" w14:paraId="69F3A224" w14:textId="77777777">
              <w:trPr>
                <w:tblCellSpacing w:w="15" w:type="dxa"/>
              </w:trPr>
              <w:tc>
                <w:tcPr>
                  <w:tcW w:w="0" w:type="auto"/>
                  <w:vAlign w:val="center"/>
                  <w:hideMark/>
                </w:tcPr>
                <w:p w14:paraId="5D8F9FD5" w14:textId="5676600A" w:rsidR="001A77EC" w:rsidRPr="00846712" w:rsidRDefault="003F208F"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Date of the judgment</w:t>
                  </w:r>
                </w:p>
              </w:tc>
            </w:tr>
          </w:tbl>
          <w:p w14:paraId="42A03145"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682"/>
              <w:gridCol w:w="2682"/>
            </w:tblGrid>
            <w:tr w:rsidR="001A77EC" w:rsidRPr="00846712" w14:paraId="74582216" w14:textId="77777777">
              <w:trPr>
                <w:tblCellSpacing w:w="0" w:type="dxa"/>
              </w:trPr>
              <w:tc>
                <w:tcPr>
                  <w:tcW w:w="0" w:type="auto"/>
                  <w:vAlign w:val="center"/>
                  <w:hideMark/>
                </w:tcPr>
                <w:p w14:paraId="168EF704"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2019-04-05</w:t>
                  </w:r>
                </w:p>
              </w:tc>
              <w:tc>
                <w:tcPr>
                  <w:tcW w:w="2500" w:type="pct"/>
                  <w:tcMar>
                    <w:top w:w="0" w:type="dxa"/>
                    <w:left w:w="0" w:type="dxa"/>
                    <w:bottom w:w="0" w:type="dxa"/>
                    <w:right w:w="75" w:type="dxa"/>
                  </w:tcMar>
                  <w:vAlign w:val="center"/>
                  <w:hideMark/>
                </w:tcPr>
                <w:p w14:paraId="05A70ADB" w14:textId="2F9154C1" w:rsidR="001A77EC" w:rsidRPr="00846712" w:rsidRDefault="003F208F" w:rsidP="001A77EC">
                  <w:pPr>
                    <w:spacing w:after="0" w:line="240" w:lineRule="auto"/>
                    <w:jc w:val="right"/>
                    <w:rPr>
                      <w:rFonts w:ascii="Times New Roman" w:eastAsia="Times New Roman" w:hAnsi="Times New Roman" w:cs="Times New Roman"/>
                      <w:i/>
                      <w:iCs/>
                      <w:sz w:val="24"/>
                      <w:szCs w:val="24"/>
                      <w:lang w:val="en-US" w:eastAsia="pl-PL"/>
                    </w:rPr>
                  </w:pPr>
                  <w:r w:rsidRPr="00846712">
                    <w:rPr>
                      <w:rFonts w:ascii="Times New Roman" w:eastAsia="Times New Roman" w:hAnsi="Times New Roman" w:cs="Times New Roman"/>
                      <w:i/>
                      <w:iCs/>
                      <w:sz w:val="24"/>
                      <w:szCs w:val="24"/>
                      <w:lang w:val="en-US" w:eastAsia="pl-PL"/>
                    </w:rPr>
                    <w:t>final and binding judgment</w:t>
                  </w:r>
                </w:p>
              </w:tc>
            </w:tr>
          </w:tbl>
          <w:p w14:paraId="74209E79"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p>
        </w:tc>
      </w:tr>
      <w:tr w:rsidR="001A77EC" w:rsidRPr="00846712" w14:paraId="3B4D6A97" w14:textId="77777777" w:rsidTr="001A77EC">
        <w:trPr>
          <w:tblCellSpacing w:w="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3"/>
            </w:tblGrid>
            <w:tr w:rsidR="001A77EC" w:rsidRPr="00846712" w14:paraId="1C2C2591" w14:textId="77777777">
              <w:trPr>
                <w:tblCellSpacing w:w="15" w:type="dxa"/>
              </w:trPr>
              <w:tc>
                <w:tcPr>
                  <w:tcW w:w="0" w:type="auto"/>
                  <w:vAlign w:val="center"/>
                  <w:hideMark/>
                </w:tcPr>
                <w:p w14:paraId="39235978" w14:textId="2F82038E" w:rsidR="001A77EC" w:rsidRPr="00846712" w:rsidRDefault="00846712" w:rsidP="001A77EC">
                  <w:pPr>
                    <w:spacing w:after="0" w:line="240" w:lineRule="auto"/>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t>Received on</w:t>
                  </w:r>
                </w:p>
              </w:tc>
            </w:tr>
          </w:tbl>
          <w:p w14:paraId="64A9DE66"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p>
        </w:tc>
        <w:tc>
          <w:tcPr>
            <w:tcW w:w="0" w:type="auto"/>
            <w:vAlign w:val="center"/>
            <w:hideMark/>
          </w:tcPr>
          <w:p w14:paraId="63C5EE22"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2017-06-29 </w:t>
            </w:r>
          </w:p>
        </w:tc>
      </w:tr>
      <w:tr w:rsidR="001A77EC" w:rsidRPr="00846712" w14:paraId="6B9FC35F" w14:textId="77777777" w:rsidTr="001A77EC">
        <w:trPr>
          <w:tblCellSpacing w:w="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7"/>
            </w:tblGrid>
            <w:tr w:rsidR="001A77EC" w:rsidRPr="00846712" w14:paraId="05E3C4DA" w14:textId="77777777">
              <w:trPr>
                <w:tblCellSpacing w:w="15" w:type="dxa"/>
              </w:trPr>
              <w:tc>
                <w:tcPr>
                  <w:tcW w:w="0" w:type="auto"/>
                  <w:vAlign w:val="center"/>
                  <w:hideMark/>
                </w:tcPr>
                <w:p w14:paraId="23FEED56" w14:textId="4E400554" w:rsidR="001A77EC" w:rsidRPr="00846712" w:rsidRDefault="003F208F"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Court</w:t>
                  </w:r>
                </w:p>
              </w:tc>
            </w:tr>
          </w:tbl>
          <w:p w14:paraId="0E03930D"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p>
        </w:tc>
        <w:tc>
          <w:tcPr>
            <w:tcW w:w="0" w:type="auto"/>
            <w:vAlign w:val="center"/>
            <w:hideMark/>
          </w:tcPr>
          <w:p w14:paraId="3A2D0183" w14:textId="125F066E" w:rsidR="001A77EC" w:rsidRPr="00846712" w:rsidRDefault="003F208F"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Supreme Administrative Court</w:t>
            </w:r>
            <w:r w:rsidR="001A77EC" w:rsidRPr="00846712">
              <w:rPr>
                <w:rFonts w:ascii="Times New Roman" w:eastAsia="Times New Roman" w:hAnsi="Times New Roman" w:cs="Times New Roman"/>
                <w:sz w:val="24"/>
                <w:szCs w:val="24"/>
                <w:lang w:val="en-US" w:eastAsia="pl-PL"/>
              </w:rPr>
              <w:t xml:space="preserve"> </w:t>
            </w:r>
          </w:p>
        </w:tc>
      </w:tr>
      <w:tr w:rsidR="001A77EC" w:rsidRPr="00846712" w14:paraId="65624418" w14:textId="77777777" w:rsidTr="001A77EC">
        <w:trPr>
          <w:tblCellSpacing w:w="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4"/>
            </w:tblGrid>
            <w:tr w:rsidR="001A77EC" w:rsidRPr="00846712" w14:paraId="6DE6760A" w14:textId="77777777">
              <w:trPr>
                <w:tblCellSpacing w:w="15" w:type="dxa"/>
              </w:trPr>
              <w:tc>
                <w:tcPr>
                  <w:tcW w:w="0" w:type="auto"/>
                  <w:vAlign w:val="center"/>
                  <w:hideMark/>
                </w:tcPr>
                <w:p w14:paraId="6B1709F9" w14:textId="33C0D2AB" w:rsidR="001A77EC" w:rsidRPr="00846712" w:rsidRDefault="003F208F"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Judges</w:t>
                  </w:r>
                </w:p>
              </w:tc>
            </w:tr>
          </w:tbl>
          <w:p w14:paraId="3D4B3CB8" w14:textId="77777777"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p>
        </w:tc>
        <w:tc>
          <w:tcPr>
            <w:tcW w:w="0" w:type="auto"/>
            <w:vAlign w:val="center"/>
            <w:hideMark/>
          </w:tcPr>
          <w:p w14:paraId="0A6525A8" w14:textId="22E012FB" w:rsidR="001A77EC" w:rsidRPr="00846712" w:rsidRDefault="001A77EC" w:rsidP="001A77EC">
            <w:pPr>
              <w:spacing w:after="0" w:line="240" w:lineRule="auto"/>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Aleksandra </w:t>
            </w:r>
            <w:proofErr w:type="spellStart"/>
            <w:r w:rsidRPr="00846712">
              <w:rPr>
                <w:rFonts w:ascii="Times New Roman" w:eastAsia="Times New Roman" w:hAnsi="Times New Roman" w:cs="Times New Roman"/>
                <w:sz w:val="24"/>
                <w:szCs w:val="24"/>
                <w:lang w:val="en-US" w:eastAsia="pl-PL"/>
              </w:rPr>
              <w:t>Łaskarzewska</w:t>
            </w:r>
            <w:proofErr w:type="spellEnd"/>
            <w:r w:rsidRPr="00846712">
              <w:rPr>
                <w:rFonts w:ascii="Times New Roman" w:eastAsia="Times New Roman" w:hAnsi="Times New Roman" w:cs="Times New Roman"/>
                <w:sz w:val="24"/>
                <w:szCs w:val="24"/>
                <w:lang w:val="en-US" w:eastAsia="pl-PL"/>
              </w:rPr>
              <w:br/>
            </w:r>
            <w:proofErr w:type="spellStart"/>
            <w:r w:rsidRPr="00846712">
              <w:rPr>
                <w:rFonts w:ascii="Times New Roman" w:eastAsia="Times New Roman" w:hAnsi="Times New Roman" w:cs="Times New Roman"/>
                <w:sz w:val="24"/>
                <w:szCs w:val="24"/>
                <w:lang w:val="en-US" w:eastAsia="pl-PL"/>
              </w:rPr>
              <w:t>Mirosław</w:t>
            </w:r>
            <w:proofErr w:type="spellEnd"/>
            <w:r w:rsidRPr="00846712">
              <w:rPr>
                <w:rFonts w:ascii="Times New Roman" w:eastAsia="Times New Roman" w:hAnsi="Times New Roman" w:cs="Times New Roman"/>
                <w:sz w:val="24"/>
                <w:szCs w:val="24"/>
                <w:lang w:val="en-US" w:eastAsia="pl-PL"/>
              </w:rPr>
              <w:t xml:space="preserve"> </w:t>
            </w:r>
            <w:proofErr w:type="spellStart"/>
            <w:r w:rsidRPr="00846712">
              <w:rPr>
                <w:rFonts w:ascii="Times New Roman" w:eastAsia="Times New Roman" w:hAnsi="Times New Roman" w:cs="Times New Roman"/>
                <w:sz w:val="24"/>
                <w:szCs w:val="24"/>
                <w:lang w:val="en-US" w:eastAsia="pl-PL"/>
              </w:rPr>
              <w:t>Wincenciak</w:t>
            </w:r>
            <w:proofErr w:type="spellEnd"/>
            <w:r w:rsidRPr="00846712">
              <w:rPr>
                <w:rFonts w:ascii="Times New Roman" w:eastAsia="Times New Roman" w:hAnsi="Times New Roman" w:cs="Times New Roman"/>
                <w:sz w:val="24"/>
                <w:szCs w:val="24"/>
                <w:lang w:val="en-US" w:eastAsia="pl-PL"/>
              </w:rPr>
              <w:t xml:space="preserve"> /</w:t>
            </w:r>
            <w:r w:rsidR="003F208F" w:rsidRPr="00846712">
              <w:rPr>
                <w:rFonts w:ascii="Times New Roman" w:eastAsia="Times New Roman" w:hAnsi="Times New Roman" w:cs="Times New Roman"/>
                <w:sz w:val="24"/>
                <w:szCs w:val="24"/>
                <w:lang w:val="en-US" w:eastAsia="pl-PL"/>
              </w:rPr>
              <w:t>reporting judge</w:t>
            </w:r>
            <w:r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br/>
              <w:t xml:space="preserve">Wojciech </w:t>
            </w:r>
            <w:proofErr w:type="spellStart"/>
            <w:r w:rsidRPr="00846712">
              <w:rPr>
                <w:rFonts w:ascii="Times New Roman" w:eastAsia="Times New Roman" w:hAnsi="Times New Roman" w:cs="Times New Roman"/>
                <w:sz w:val="24"/>
                <w:szCs w:val="24"/>
                <w:lang w:val="en-US" w:eastAsia="pl-PL"/>
              </w:rPr>
              <w:t>Jakimowicz</w:t>
            </w:r>
            <w:proofErr w:type="spellEnd"/>
            <w:r w:rsidRPr="00846712">
              <w:rPr>
                <w:rFonts w:ascii="Times New Roman" w:eastAsia="Times New Roman" w:hAnsi="Times New Roman" w:cs="Times New Roman"/>
                <w:sz w:val="24"/>
                <w:szCs w:val="24"/>
                <w:lang w:val="en-US" w:eastAsia="pl-PL"/>
              </w:rPr>
              <w:t xml:space="preserve"> /</w:t>
            </w:r>
            <w:r w:rsidR="003F208F" w:rsidRPr="00846712">
              <w:rPr>
                <w:rFonts w:ascii="Times New Roman" w:eastAsia="Times New Roman" w:hAnsi="Times New Roman" w:cs="Times New Roman"/>
                <w:sz w:val="24"/>
                <w:szCs w:val="24"/>
                <w:lang w:val="en-US" w:eastAsia="pl-PL"/>
              </w:rPr>
              <w:t>presiding judge</w:t>
            </w:r>
            <w:r w:rsidRPr="00846712">
              <w:rPr>
                <w:rFonts w:ascii="Times New Roman" w:eastAsia="Times New Roman" w:hAnsi="Times New Roman" w:cs="Times New Roman"/>
                <w:sz w:val="24"/>
                <w:szCs w:val="24"/>
                <w:lang w:val="en-US" w:eastAsia="pl-PL"/>
              </w:rPr>
              <w:t xml:space="preserve">/ </w:t>
            </w:r>
          </w:p>
        </w:tc>
      </w:tr>
    </w:tbl>
    <w:p w14:paraId="05DB310D" w14:textId="77777777" w:rsidR="001A77EC" w:rsidRPr="00846712" w:rsidRDefault="001A77EC">
      <w:pPr>
        <w:rPr>
          <w:lang w:val="en-US"/>
        </w:rPr>
      </w:pPr>
    </w:p>
    <w:tbl>
      <w:tblPr>
        <w:tblW w:w="0" w:type="auto"/>
        <w:tblCellSpacing w:w="5" w:type="dxa"/>
        <w:tblCellMar>
          <w:left w:w="0" w:type="dxa"/>
          <w:right w:w="0" w:type="dxa"/>
        </w:tblCellMar>
        <w:tblLook w:val="04A0" w:firstRow="1" w:lastRow="0" w:firstColumn="1" w:lastColumn="0" w:noHBand="0" w:noVBand="1"/>
      </w:tblPr>
      <w:tblGrid>
        <w:gridCol w:w="9072"/>
      </w:tblGrid>
      <w:tr w:rsidR="001A77EC" w:rsidRPr="00846712" w14:paraId="732D90C7" w14:textId="77777777" w:rsidTr="001A77EC">
        <w:trPr>
          <w:tblCellSpacing w:w="5" w:type="dxa"/>
        </w:trPr>
        <w:tc>
          <w:tcPr>
            <w:tcW w:w="0" w:type="auto"/>
            <w:vAlign w:val="center"/>
            <w:hideMark/>
          </w:tcPr>
          <w:p w14:paraId="44F57B84" w14:textId="7D1930D5" w:rsidR="001A77EC" w:rsidRPr="00846712" w:rsidRDefault="003F208F" w:rsidP="00CE2C82">
            <w:pPr>
              <w:spacing w:after="0" w:line="240" w:lineRule="auto"/>
              <w:jc w:val="center"/>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Sentencing part of the judgment</w:t>
            </w:r>
          </w:p>
          <w:p w14:paraId="18904ED9" w14:textId="6C3C90E9" w:rsidR="001A77EC" w:rsidRPr="00846712" w:rsidRDefault="00022022" w:rsidP="00CE2C82">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Supreme Administrative Court sitting in the following composition: Presiding Judge of the Supreme Administrative Court Wojciech </w:t>
            </w:r>
            <w:proofErr w:type="spellStart"/>
            <w:r w:rsidRPr="00846712">
              <w:rPr>
                <w:rFonts w:ascii="Times New Roman" w:eastAsia="Times New Roman" w:hAnsi="Times New Roman" w:cs="Times New Roman"/>
                <w:sz w:val="24"/>
                <w:szCs w:val="24"/>
                <w:lang w:val="en-US" w:eastAsia="pl-PL"/>
              </w:rPr>
              <w:t>Jakimowicz</w:t>
            </w:r>
            <w:proofErr w:type="spellEnd"/>
            <w:r w:rsidRPr="00846712">
              <w:rPr>
                <w:rFonts w:ascii="Times New Roman" w:eastAsia="Times New Roman" w:hAnsi="Times New Roman" w:cs="Times New Roman"/>
                <w:sz w:val="24"/>
                <w:szCs w:val="24"/>
                <w:lang w:val="en-US" w:eastAsia="pl-PL"/>
              </w:rPr>
              <w:t xml:space="preserve">, Judge of the Supreme Administrative Court Aleksandra </w:t>
            </w:r>
            <w:proofErr w:type="spellStart"/>
            <w:r w:rsidRPr="00846712">
              <w:rPr>
                <w:rFonts w:ascii="Times New Roman" w:eastAsia="Times New Roman" w:hAnsi="Times New Roman" w:cs="Times New Roman"/>
                <w:sz w:val="24"/>
                <w:szCs w:val="24"/>
                <w:lang w:val="en-US" w:eastAsia="pl-PL"/>
              </w:rPr>
              <w:t>Łaskarzewska</w:t>
            </w:r>
            <w:proofErr w:type="spellEnd"/>
            <w:r w:rsidRPr="00846712">
              <w:rPr>
                <w:rFonts w:ascii="Times New Roman" w:eastAsia="Times New Roman" w:hAnsi="Times New Roman" w:cs="Times New Roman"/>
                <w:sz w:val="24"/>
                <w:szCs w:val="24"/>
                <w:lang w:val="en-US" w:eastAsia="pl-PL"/>
              </w:rPr>
              <w:t xml:space="preserve">, Judge of the Supreme Administrative Court </w:t>
            </w:r>
            <w:proofErr w:type="spellStart"/>
            <w:r w:rsidRPr="00846712">
              <w:rPr>
                <w:rFonts w:ascii="Times New Roman" w:eastAsia="Times New Roman" w:hAnsi="Times New Roman" w:cs="Times New Roman"/>
                <w:sz w:val="24"/>
                <w:szCs w:val="24"/>
                <w:lang w:val="en-US" w:eastAsia="pl-PL"/>
              </w:rPr>
              <w:t>Mirosław</w:t>
            </w:r>
            <w:proofErr w:type="spellEnd"/>
            <w:r w:rsidRPr="00846712">
              <w:rPr>
                <w:rFonts w:ascii="Times New Roman" w:eastAsia="Times New Roman" w:hAnsi="Times New Roman" w:cs="Times New Roman"/>
                <w:sz w:val="24"/>
                <w:szCs w:val="24"/>
                <w:lang w:val="en-US" w:eastAsia="pl-PL"/>
              </w:rPr>
              <w:t xml:space="preserve"> </w:t>
            </w:r>
            <w:proofErr w:type="spellStart"/>
            <w:r w:rsidRPr="00846712">
              <w:rPr>
                <w:rFonts w:ascii="Times New Roman" w:eastAsia="Times New Roman" w:hAnsi="Times New Roman" w:cs="Times New Roman"/>
                <w:sz w:val="24"/>
                <w:szCs w:val="24"/>
                <w:lang w:val="en-US" w:eastAsia="pl-PL"/>
              </w:rPr>
              <w:t>Wincenciak</w:t>
            </w:r>
            <w:proofErr w:type="spellEnd"/>
            <w:r w:rsidRPr="00846712">
              <w:rPr>
                <w:rFonts w:ascii="Times New Roman" w:eastAsia="Times New Roman" w:hAnsi="Times New Roman" w:cs="Times New Roman"/>
                <w:sz w:val="24"/>
                <w:szCs w:val="24"/>
                <w:lang w:val="en-US" w:eastAsia="pl-PL"/>
              </w:rPr>
              <w:t xml:space="preserve"> (Reporting Judge), Recording Clerk, Senior Judge Assistant D.O., having examined on 5 April 2019</w:t>
            </w:r>
            <w:r w:rsid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at </w:t>
            </w:r>
            <w:r w:rsidR="00846712">
              <w:rPr>
                <w:rFonts w:ascii="Times New Roman" w:eastAsia="Times New Roman" w:hAnsi="Times New Roman" w:cs="Times New Roman"/>
                <w:sz w:val="24"/>
                <w:szCs w:val="24"/>
                <w:lang w:val="en-US" w:eastAsia="pl-PL"/>
              </w:rPr>
              <w:t>a</w:t>
            </w:r>
            <w:r w:rsidRPr="00846712">
              <w:rPr>
                <w:rFonts w:ascii="Times New Roman" w:eastAsia="Times New Roman" w:hAnsi="Times New Roman" w:cs="Times New Roman"/>
                <w:sz w:val="24"/>
                <w:szCs w:val="24"/>
                <w:lang w:val="en-US" w:eastAsia="pl-PL"/>
              </w:rPr>
              <w:t xml:space="preserve"> hearing held in the General Administrative Chamber</w:t>
            </w:r>
            <w:r w:rsid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of the cassation appeal filed by </w:t>
            </w:r>
            <w:r w:rsidR="00F15C0F" w:rsidRPr="00846712">
              <w:rPr>
                <w:rFonts w:ascii="Times New Roman" w:eastAsia="Times New Roman" w:hAnsi="Times New Roman" w:cs="Times New Roman"/>
                <w:sz w:val="24"/>
                <w:szCs w:val="24"/>
                <w:lang w:val="en-US" w:eastAsia="pl-PL"/>
              </w:rPr>
              <w:t xml:space="preserve">Association </w:t>
            </w:r>
            <w:r w:rsidR="007011D0"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A.</w:t>
            </w:r>
            <w:r w:rsidR="007011D0"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against the judgment of the Voivodship Administrative Court in Warsaw of 14 March 2017, file ref. No. II SAB/</w:t>
            </w:r>
            <w:proofErr w:type="spellStart"/>
            <w:r w:rsidRPr="00846712">
              <w:rPr>
                <w:rFonts w:ascii="Times New Roman" w:eastAsia="Times New Roman" w:hAnsi="Times New Roman" w:cs="Times New Roman"/>
                <w:sz w:val="24"/>
                <w:szCs w:val="24"/>
                <w:lang w:val="en-US" w:eastAsia="pl-PL"/>
              </w:rPr>
              <w:t>Wa</w:t>
            </w:r>
            <w:proofErr w:type="spellEnd"/>
            <w:r w:rsidRPr="00846712">
              <w:rPr>
                <w:rFonts w:ascii="Times New Roman" w:eastAsia="Times New Roman" w:hAnsi="Times New Roman" w:cs="Times New Roman"/>
                <w:sz w:val="24"/>
                <w:szCs w:val="24"/>
                <w:lang w:val="en-US" w:eastAsia="pl-PL"/>
              </w:rPr>
              <w:t xml:space="preserve"> 720/16, regarding the complaint of </w:t>
            </w:r>
            <w:r w:rsidR="007011D0" w:rsidRPr="00846712">
              <w:rPr>
                <w:rFonts w:ascii="Times New Roman" w:eastAsia="Times New Roman" w:hAnsi="Times New Roman" w:cs="Times New Roman"/>
                <w:sz w:val="24"/>
                <w:szCs w:val="24"/>
                <w:lang w:val="en-US" w:eastAsia="pl-PL"/>
              </w:rPr>
              <w:t>the Association “</w:t>
            </w:r>
            <w:r w:rsidRPr="00846712">
              <w:rPr>
                <w:rFonts w:ascii="Times New Roman" w:eastAsia="Times New Roman" w:hAnsi="Times New Roman" w:cs="Times New Roman"/>
                <w:sz w:val="24"/>
                <w:szCs w:val="24"/>
                <w:lang w:val="en-US" w:eastAsia="pl-PL"/>
              </w:rPr>
              <w:t>A.</w:t>
            </w:r>
            <w:r w:rsidR="007011D0"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against the Minister of Foreign Affairs</w:t>
            </w:r>
            <w:r w:rsidR="00F15C0F"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w:t>
            </w:r>
            <w:r w:rsidR="00F15C0F" w:rsidRPr="00846712">
              <w:rPr>
                <w:rFonts w:ascii="Times New Roman" w:eastAsia="Times New Roman" w:hAnsi="Times New Roman" w:cs="Times New Roman"/>
                <w:sz w:val="24"/>
                <w:szCs w:val="24"/>
                <w:lang w:val="en-US" w:eastAsia="pl-PL"/>
              </w:rPr>
              <w:t xml:space="preserve">failure to act </w:t>
            </w:r>
            <w:r w:rsidRPr="00846712">
              <w:rPr>
                <w:rFonts w:ascii="Times New Roman" w:eastAsia="Times New Roman" w:hAnsi="Times New Roman" w:cs="Times New Roman"/>
                <w:sz w:val="24"/>
                <w:szCs w:val="24"/>
                <w:lang w:val="en-US" w:eastAsia="pl-PL"/>
              </w:rPr>
              <w:t xml:space="preserve">with regard to the examination of the </w:t>
            </w:r>
            <w:r w:rsidR="003C17A2" w:rsidRPr="00846712">
              <w:rPr>
                <w:rFonts w:ascii="Times New Roman" w:eastAsia="Times New Roman" w:hAnsi="Times New Roman" w:cs="Times New Roman"/>
                <w:sz w:val="24"/>
                <w:szCs w:val="24"/>
                <w:lang w:val="en-US" w:eastAsia="pl-PL"/>
              </w:rPr>
              <w:t>request</w:t>
            </w:r>
            <w:r w:rsidRPr="00846712">
              <w:rPr>
                <w:rFonts w:ascii="Times New Roman" w:eastAsia="Times New Roman" w:hAnsi="Times New Roman" w:cs="Times New Roman"/>
                <w:sz w:val="24"/>
                <w:szCs w:val="24"/>
                <w:lang w:val="en-US" w:eastAsia="pl-PL"/>
              </w:rPr>
              <w:t xml:space="preserve"> </w:t>
            </w:r>
            <w:r w:rsidR="00846712" w:rsidRPr="00846712">
              <w:rPr>
                <w:rFonts w:ascii="Times New Roman" w:eastAsia="Times New Roman" w:hAnsi="Times New Roman" w:cs="Times New Roman"/>
                <w:sz w:val="24"/>
                <w:szCs w:val="24"/>
                <w:lang w:val="en-US" w:eastAsia="pl-PL"/>
              </w:rPr>
              <w:t xml:space="preserve">for disclosure of public information </w:t>
            </w:r>
            <w:r w:rsidR="00F15C0F" w:rsidRPr="00846712">
              <w:rPr>
                <w:rFonts w:ascii="Times New Roman" w:eastAsia="Times New Roman" w:hAnsi="Times New Roman" w:cs="Times New Roman"/>
                <w:sz w:val="24"/>
                <w:szCs w:val="24"/>
                <w:lang w:val="en-US" w:eastAsia="pl-PL"/>
              </w:rPr>
              <w:t>dated</w:t>
            </w:r>
            <w:r w:rsidRPr="00846712">
              <w:rPr>
                <w:rFonts w:ascii="Times New Roman" w:eastAsia="Times New Roman" w:hAnsi="Times New Roman" w:cs="Times New Roman"/>
                <w:sz w:val="24"/>
                <w:szCs w:val="24"/>
                <w:lang w:val="en-US" w:eastAsia="pl-PL"/>
              </w:rPr>
              <w:t xml:space="preserve"> [...] October 2016, hereby </w:t>
            </w:r>
            <w:r w:rsidR="00F15C0F" w:rsidRPr="00846712">
              <w:rPr>
                <w:rFonts w:ascii="Times New Roman" w:eastAsia="Times New Roman" w:hAnsi="Times New Roman" w:cs="Times New Roman"/>
                <w:sz w:val="24"/>
                <w:szCs w:val="24"/>
                <w:lang w:val="en-US" w:eastAsia="pl-PL"/>
              </w:rPr>
              <w:t xml:space="preserve">decides to </w:t>
            </w:r>
            <w:r w:rsidRPr="00846712">
              <w:rPr>
                <w:rFonts w:ascii="Times New Roman" w:eastAsia="Times New Roman" w:hAnsi="Times New Roman" w:cs="Times New Roman"/>
                <w:sz w:val="24"/>
                <w:szCs w:val="24"/>
                <w:lang w:val="en-US" w:eastAsia="pl-PL"/>
              </w:rPr>
              <w:t xml:space="preserve">1. dismiss the cassation appeal, 2. order </w:t>
            </w:r>
            <w:r w:rsidR="00846712">
              <w:rPr>
                <w:rFonts w:ascii="Times New Roman" w:eastAsia="Times New Roman" w:hAnsi="Times New Roman" w:cs="Times New Roman"/>
                <w:sz w:val="24"/>
                <w:szCs w:val="24"/>
                <w:lang w:val="en-US" w:eastAsia="pl-PL"/>
              </w:rPr>
              <w:t xml:space="preserve">the </w:t>
            </w:r>
            <w:r w:rsidR="00F15C0F" w:rsidRPr="00846712">
              <w:rPr>
                <w:rFonts w:ascii="Times New Roman" w:eastAsia="Times New Roman" w:hAnsi="Times New Roman" w:cs="Times New Roman"/>
                <w:sz w:val="24"/>
                <w:szCs w:val="24"/>
                <w:lang w:val="en-US" w:eastAsia="pl-PL"/>
              </w:rPr>
              <w:t xml:space="preserve">Association </w:t>
            </w:r>
            <w:r w:rsid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A.</w:t>
            </w:r>
            <w:r w:rsid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to pay the amount of PLN 480 (say: four hundred and eighty zlotys) to the Minister of Foreign Affairs as reimbursement of costs of the cassation proceedings</w:t>
            </w:r>
            <w:r w:rsidR="001A77EC" w:rsidRPr="00846712">
              <w:rPr>
                <w:rFonts w:ascii="Times New Roman" w:eastAsia="Times New Roman" w:hAnsi="Times New Roman" w:cs="Times New Roman"/>
                <w:sz w:val="24"/>
                <w:szCs w:val="24"/>
                <w:lang w:val="en-US" w:eastAsia="pl-PL"/>
              </w:rPr>
              <w:t xml:space="preserve">. </w:t>
            </w:r>
          </w:p>
        </w:tc>
      </w:tr>
      <w:tr w:rsidR="001A77EC" w:rsidRPr="00846712" w14:paraId="3443A420" w14:textId="77777777" w:rsidTr="001A77EC">
        <w:trPr>
          <w:tblCellSpacing w:w="5" w:type="dxa"/>
        </w:trPr>
        <w:tc>
          <w:tcPr>
            <w:tcW w:w="0" w:type="auto"/>
            <w:vAlign w:val="center"/>
            <w:hideMark/>
          </w:tcPr>
          <w:p w14:paraId="6C635C59" w14:textId="77777777" w:rsidR="00CE2C82" w:rsidRDefault="00CE2C82" w:rsidP="00AD5449">
            <w:pPr>
              <w:spacing w:after="0" w:line="240" w:lineRule="auto"/>
              <w:jc w:val="both"/>
              <w:rPr>
                <w:rFonts w:ascii="Times New Roman" w:eastAsia="Times New Roman" w:hAnsi="Times New Roman" w:cs="Times New Roman"/>
                <w:sz w:val="24"/>
                <w:szCs w:val="24"/>
                <w:lang w:val="en-US" w:eastAsia="pl-PL"/>
              </w:rPr>
            </w:pPr>
          </w:p>
          <w:p w14:paraId="36181A1B" w14:textId="0BBCFDDA" w:rsidR="001A77EC" w:rsidRPr="00846712" w:rsidRDefault="00F15C0F" w:rsidP="00AD5449">
            <w:pPr>
              <w:spacing w:after="0"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Justification</w:t>
            </w:r>
          </w:p>
          <w:p w14:paraId="55AE425E" w14:textId="20B7B774" w:rsidR="001A77EC" w:rsidRPr="00846712" w:rsidRDefault="00F15C0F"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By its judgment of 14 March 2017, file ref. No. II SAB/</w:t>
            </w:r>
            <w:proofErr w:type="spellStart"/>
            <w:r w:rsidRPr="00846712">
              <w:rPr>
                <w:rFonts w:ascii="Times New Roman" w:eastAsia="Times New Roman" w:hAnsi="Times New Roman" w:cs="Times New Roman"/>
                <w:sz w:val="24"/>
                <w:szCs w:val="24"/>
                <w:lang w:val="en-US" w:eastAsia="pl-PL"/>
              </w:rPr>
              <w:t>Wa</w:t>
            </w:r>
            <w:proofErr w:type="spellEnd"/>
            <w:r w:rsidRPr="00846712">
              <w:rPr>
                <w:rFonts w:ascii="Times New Roman" w:eastAsia="Times New Roman" w:hAnsi="Times New Roman" w:cs="Times New Roman"/>
                <w:sz w:val="24"/>
                <w:szCs w:val="24"/>
                <w:lang w:val="en-US" w:eastAsia="pl-PL"/>
              </w:rPr>
              <w:t xml:space="preserve"> 720/16, the Voivodship Administrative Court in Warsaw dismissed the complaint filed by the Association [...] having its registered office in [...] against the Minister of Foreign Affairs’ failure to act with regard to the examination of the </w:t>
            </w:r>
            <w:r w:rsidR="003C17A2" w:rsidRPr="00846712">
              <w:rPr>
                <w:rFonts w:ascii="Times New Roman" w:eastAsia="Times New Roman" w:hAnsi="Times New Roman" w:cs="Times New Roman"/>
                <w:sz w:val="24"/>
                <w:szCs w:val="24"/>
                <w:lang w:val="en-US" w:eastAsia="pl-PL"/>
              </w:rPr>
              <w:t xml:space="preserve">request </w:t>
            </w:r>
            <w:r w:rsidR="00846712" w:rsidRPr="00846712">
              <w:rPr>
                <w:rFonts w:ascii="Times New Roman" w:eastAsia="Times New Roman" w:hAnsi="Times New Roman" w:cs="Times New Roman"/>
                <w:sz w:val="24"/>
                <w:szCs w:val="24"/>
                <w:lang w:val="en-US" w:eastAsia="pl-PL"/>
              </w:rPr>
              <w:t xml:space="preserve">for disclosure of public information </w:t>
            </w:r>
            <w:r w:rsidRPr="00846712">
              <w:rPr>
                <w:rFonts w:ascii="Times New Roman" w:eastAsia="Times New Roman" w:hAnsi="Times New Roman" w:cs="Times New Roman"/>
                <w:sz w:val="24"/>
                <w:szCs w:val="24"/>
                <w:lang w:val="en-US" w:eastAsia="pl-PL"/>
              </w:rPr>
              <w:t>dated [...] October 2016.</w:t>
            </w:r>
          </w:p>
          <w:p w14:paraId="1934F1B5" w14:textId="54AE6AC1" w:rsidR="001A77EC" w:rsidRPr="00846712" w:rsidRDefault="00F15C0F"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Court of the first instance based its judgment on the following findings and legal assessment.</w:t>
            </w:r>
          </w:p>
          <w:p w14:paraId="1F297344" w14:textId="373A53F5" w:rsidR="001A77EC" w:rsidRPr="00846712" w:rsidRDefault="00FA7B2F"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By means of a </w:t>
            </w:r>
            <w:r w:rsidR="003C17A2" w:rsidRPr="00846712">
              <w:rPr>
                <w:rFonts w:ascii="Times New Roman" w:eastAsia="Times New Roman" w:hAnsi="Times New Roman" w:cs="Times New Roman"/>
                <w:sz w:val="24"/>
                <w:szCs w:val="24"/>
                <w:lang w:val="en-US" w:eastAsia="pl-PL"/>
              </w:rPr>
              <w:t xml:space="preserve">request </w:t>
            </w:r>
            <w:r w:rsidRPr="00846712">
              <w:rPr>
                <w:rFonts w:ascii="Times New Roman" w:eastAsia="Times New Roman" w:hAnsi="Times New Roman" w:cs="Times New Roman"/>
                <w:sz w:val="24"/>
                <w:szCs w:val="24"/>
                <w:lang w:val="en-US" w:eastAsia="pl-PL"/>
              </w:rPr>
              <w:t xml:space="preserve">of [...] October 2016 sent by e-mail, the Association [...], hereinafter referred to as “the Association”, requested the Minister of Foreign Affairs, hereinafter referred to as “the Minister”, for information related to Poland's submission to the third Universal Periodic Review, hereinafter referred to as “UPR”, by the Human Rights Council at the United Nations, i.e. </w:t>
            </w:r>
            <w:r w:rsidR="000E7A56">
              <w:rPr>
                <w:rFonts w:ascii="Times New Roman" w:eastAsia="Times New Roman" w:hAnsi="Times New Roman" w:cs="Times New Roman"/>
                <w:sz w:val="24"/>
                <w:szCs w:val="24"/>
                <w:lang w:val="en-US" w:eastAsia="pl-PL"/>
              </w:rPr>
              <w:t xml:space="preserve">for </w:t>
            </w:r>
            <w:r w:rsidRPr="00846712">
              <w:rPr>
                <w:rFonts w:ascii="Times New Roman" w:eastAsia="Times New Roman" w:hAnsi="Times New Roman" w:cs="Times New Roman"/>
                <w:sz w:val="24"/>
                <w:szCs w:val="24"/>
                <w:lang w:val="en-US" w:eastAsia="pl-PL"/>
              </w:rPr>
              <w:t>scans of documents contributing to the above-mentioned report</w:t>
            </w:r>
            <w:r w:rsidR="000E7A56">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received by the MFA from other ministries and institutions mentioned in the reply of [...] September this year to the request of [...] September this year: the Ministry of the Interior and Administration, the National Public Prosecutor's Office, the Ministry of National Education, the Ministry of Family, Labor and Social Policy, the Ministry of Justice, the Ministry of Health, the Government Plenipotentiary for Equal Treatment, and the Police Headquarters, Ombudsman for Human Rights, Ombudsman for Children, and others, to whom the Ministry of Foreign </w:t>
            </w:r>
            <w:r w:rsidRPr="00846712">
              <w:rPr>
                <w:rFonts w:ascii="Times New Roman" w:eastAsia="Times New Roman" w:hAnsi="Times New Roman" w:cs="Times New Roman"/>
                <w:sz w:val="24"/>
                <w:szCs w:val="24"/>
                <w:lang w:val="en-US" w:eastAsia="pl-PL"/>
              </w:rPr>
              <w:lastRenderedPageBreak/>
              <w:t>Affairs sent a formal letter asking for a contribution to the UPR report. The Association requested provision of this information by electronic means</w:t>
            </w:r>
            <w:r w:rsidR="001A77EC" w:rsidRPr="00846712">
              <w:rPr>
                <w:rFonts w:ascii="Times New Roman" w:eastAsia="Times New Roman" w:hAnsi="Times New Roman" w:cs="Times New Roman"/>
                <w:sz w:val="24"/>
                <w:szCs w:val="24"/>
                <w:lang w:val="en-US" w:eastAsia="pl-PL"/>
              </w:rPr>
              <w:t>.</w:t>
            </w:r>
          </w:p>
          <w:p w14:paraId="1437A842" w14:textId="7AB379BA" w:rsidR="001A77EC" w:rsidRPr="00846712" w:rsidRDefault="00FA7B2F"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By its e-mail of [...] October 2016, the authority informed that not all of the ministries and institutions mentioned had provided the MFA with their contributions to the report. At the same time, it pointed out that the documents were of a draft nature, they were being used to prepare the final version of the report and thus, they did not constitute public information</w:t>
            </w:r>
            <w:r w:rsidR="001A77EC" w:rsidRPr="00846712">
              <w:rPr>
                <w:rFonts w:ascii="Times New Roman" w:eastAsia="Times New Roman" w:hAnsi="Times New Roman" w:cs="Times New Roman"/>
                <w:sz w:val="24"/>
                <w:szCs w:val="24"/>
                <w:lang w:val="en-US" w:eastAsia="pl-PL"/>
              </w:rPr>
              <w:t>.</w:t>
            </w:r>
          </w:p>
          <w:p w14:paraId="363EBA6D" w14:textId="06103397" w:rsidR="001A77EC" w:rsidRPr="00846712" w:rsidRDefault="00015C83"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By its letter of [...] October 2016, the Association filed to the Voivodship Administrative Court in Warsaw, hereinafter also referred to as “VAC”, a complaint against the Minister's failure to act in response to the </w:t>
            </w:r>
            <w:r w:rsidR="003C17A2" w:rsidRPr="00846712">
              <w:rPr>
                <w:rFonts w:ascii="Times New Roman" w:eastAsia="Times New Roman" w:hAnsi="Times New Roman" w:cs="Times New Roman"/>
                <w:sz w:val="24"/>
                <w:szCs w:val="24"/>
                <w:lang w:val="en-US" w:eastAsia="pl-PL"/>
              </w:rPr>
              <w:t xml:space="preserve">request </w:t>
            </w:r>
            <w:r w:rsidRPr="00846712">
              <w:rPr>
                <w:rFonts w:ascii="Times New Roman" w:eastAsia="Times New Roman" w:hAnsi="Times New Roman" w:cs="Times New Roman"/>
                <w:sz w:val="24"/>
                <w:szCs w:val="24"/>
                <w:lang w:val="en-US" w:eastAsia="pl-PL"/>
              </w:rPr>
              <w:t>of [...] October 2016. The complaining Association claimed that there was a violation of Article 61 (1) and (2) of the Constitution of the Republic of Poland in connection with Article 10 of the European Convention for the Protection of Human Rights and Fundamental Freedoms (Journal of Laws 1993.61.284 of 10 July 1993), hereinafter referred to as “ECHR”, Article 1 (1) in connection with Article 6 (1) (1) and (4) (b)-(d), Article 13 (1) of the Act of 6 September 2001 on Access to Public Information (Journal of Laws of 2015, item 2058, as amended), hereinafter referred to as “the API Act</w:t>
            </w:r>
            <w:r w:rsidR="001A77EC"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w:t>
            </w:r>
          </w:p>
          <w:p w14:paraId="1F82C842" w14:textId="39B50325" w:rsidR="001A77EC" w:rsidRPr="00846712" w:rsidRDefault="00015C83"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In the justification part of the judgment referred to at the beginning, the VAC stated that the complaint was groundless</w:t>
            </w:r>
            <w:r w:rsidR="001A77EC" w:rsidRPr="00846712">
              <w:rPr>
                <w:rFonts w:ascii="Times New Roman" w:eastAsia="Times New Roman" w:hAnsi="Times New Roman" w:cs="Times New Roman"/>
                <w:sz w:val="24"/>
                <w:szCs w:val="24"/>
                <w:lang w:val="en-US" w:eastAsia="pl-PL"/>
              </w:rPr>
              <w:t>.</w:t>
            </w:r>
          </w:p>
          <w:p w14:paraId="77494B96" w14:textId="3F7805CE" w:rsidR="001A77EC" w:rsidRPr="00846712" w:rsidRDefault="00015C83"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Court of first instance noted that the purpose of the API Act </w:t>
            </w:r>
            <w:r w:rsidR="000E7A56">
              <w:rPr>
                <w:rFonts w:ascii="Times New Roman" w:eastAsia="Times New Roman" w:hAnsi="Times New Roman" w:cs="Times New Roman"/>
                <w:sz w:val="24"/>
                <w:szCs w:val="24"/>
                <w:lang w:val="en-US" w:eastAsia="pl-PL"/>
              </w:rPr>
              <w:t>was</w:t>
            </w:r>
            <w:r w:rsidRPr="00846712">
              <w:rPr>
                <w:rFonts w:ascii="Times New Roman" w:eastAsia="Times New Roman" w:hAnsi="Times New Roman" w:cs="Times New Roman"/>
                <w:sz w:val="24"/>
                <w:szCs w:val="24"/>
                <w:lang w:val="en-US" w:eastAsia="pl-PL"/>
              </w:rPr>
              <w:t xml:space="preserve"> to </w:t>
            </w:r>
            <w:r w:rsidR="000E7A56">
              <w:rPr>
                <w:rFonts w:ascii="Times New Roman" w:eastAsia="Times New Roman" w:hAnsi="Times New Roman" w:cs="Times New Roman"/>
                <w:sz w:val="24"/>
                <w:szCs w:val="24"/>
                <w:lang w:val="en-US" w:eastAsia="pl-PL"/>
              </w:rPr>
              <w:t>pursue</w:t>
            </w:r>
            <w:r w:rsidRPr="00846712">
              <w:rPr>
                <w:rFonts w:ascii="Times New Roman" w:eastAsia="Times New Roman" w:hAnsi="Times New Roman" w:cs="Times New Roman"/>
                <w:sz w:val="24"/>
                <w:szCs w:val="24"/>
                <w:lang w:val="en-US" w:eastAsia="pl-PL"/>
              </w:rPr>
              <w:t xml:space="preserve"> the constitutional right of access to knowledge about the functioning of public authorities. It also referred to the wording of Article 2 (1), Article 4 (1), Article 1 (1), and Article 6 of the API Act</w:t>
            </w:r>
            <w:r w:rsidR="000E7A56">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as well as Article 61 of the Constitution of the Republic of Poland</w:t>
            </w:r>
            <w:r w:rsidR="001A77EC" w:rsidRPr="00846712">
              <w:rPr>
                <w:rFonts w:ascii="Times New Roman" w:eastAsia="Times New Roman" w:hAnsi="Times New Roman" w:cs="Times New Roman"/>
                <w:sz w:val="24"/>
                <w:szCs w:val="24"/>
                <w:lang w:val="en-US" w:eastAsia="pl-PL"/>
              </w:rPr>
              <w:t>.</w:t>
            </w:r>
          </w:p>
          <w:p w14:paraId="51E5C1DC" w14:textId="2ED73CDB" w:rsidR="001A77EC" w:rsidRPr="00846712" w:rsidRDefault="003C17A2"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Then, the Voivodship Administrative Court assessed that the Minister is unquestionably an entity obliged to disclose public information. However, it also stated that the requested information in the form of scans of documents contributing to the national report prepared under the third UPR received by the Ministry of Foreign Affairs from other ministries and institutions, was rightly considered by that authority as internal documentation (of a draft nature) used to prepare the final version of the report, i.e. the official position of the Republic of Poland on the international arena, and thus – in these circumstances – not constituting public information within the meaning of the API Act.</w:t>
            </w:r>
          </w:p>
          <w:p w14:paraId="764B053D" w14:textId="3895E7EA" w:rsidR="001A77EC" w:rsidRPr="00846712" w:rsidRDefault="004929FD"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Court of first instance also stated that both the request for disclosure of public information and the complaint showed that the Association would like to have access to materials used to adopt Poland’s position with regard to the third Report of the Republic of Poland </w:t>
            </w:r>
            <w:r w:rsidR="005204E4">
              <w:rPr>
                <w:rFonts w:ascii="Times New Roman" w:eastAsia="Times New Roman" w:hAnsi="Times New Roman" w:cs="Times New Roman"/>
                <w:sz w:val="24"/>
                <w:szCs w:val="24"/>
                <w:lang w:val="en-US" w:eastAsia="pl-PL"/>
              </w:rPr>
              <w:t>to</w:t>
            </w:r>
            <w:r w:rsidRPr="00846712">
              <w:rPr>
                <w:rFonts w:ascii="Times New Roman" w:eastAsia="Times New Roman" w:hAnsi="Times New Roman" w:cs="Times New Roman"/>
                <w:sz w:val="24"/>
                <w:szCs w:val="24"/>
                <w:lang w:val="en-US" w:eastAsia="pl-PL"/>
              </w:rPr>
              <w:t xml:space="preserve"> the UPR, on the same terms as a public administration authority. Still, the contributions to the report presented to the Ministry are used to develop and prepare a final version of the national report by the Republic of Poland and as such, do not constitute public information, which was rightly pointed out by the authority</w:t>
            </w:r>
            <w:r w:rsidR="001A77EC" w:rsidRPr="00846712">
              <w:rPr>
                <w:rFonts w:ascii="Times New Roman" w:eastAsia="Times New Roman" w:hAnsi="Times New Roman" w:cs="Times New Roman"/>
                <w:sz w:val="24"/>
                <w:szCs w:val="24"/>
                <w:lang w:val="en-US" w:eastAsia="pl-PL"/>
              </w:rPr>
              <w:t>.</w:t>
            </w:r>
          </w:p>
          <w:p w14:paraId="3714D9B7" w14:textId="69EED818" w:rsidR="001A77EC" w:rsidRPr="00846712" w:rsidRDefault="00901C2A"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In the VAC’s opinion, the national report will undoubtedly constitute the public information, however the process of developing a national report on the basis of materials delivered by state authorities and institutions is not subject to publication (it does not constitute public information), unless these materials would be separately – apart from the national report – presented by the Republic of Poland as part of the review on compliance with human rights</w:t>
            </w:r>
            <w:r w:rsidR="001A77EC" w:rsidRPr="00846712">
              <w:rPr>
                <w:rFonts w:ascii="Times New Roman" w:eastAsia="Times New Roman" w:hAnsi="Times New Roman" w:cs="Times New Roman"/>
                <w:sz w:val="24"/>
                <w:szCs w:val="24"/>
                <w:lang w:val="en-US" w:eastAsia="pl-PL"/>
              </w:rPr>
              <w:t>.</w:t>
            </w:r>
          </w:p>
          <w:p w14:paraId="35F11254" w14:textId="0680D2C1" w:rsidR="001A77EC" w:rsidRPr="00846712" w:rsidRDefault="00901C2A"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lastRenderedPageBreak/>
              <w:t>The Court of first instance decided that the stage of collecting information necessary to develop the position of the Republic of Poland (in this case, the preparation of a national report, and, in consequence, the production of public information) is of an internal nature</w:t>
            </w:r>
            <w:r w:rsidR="001A77EC" w:rsidRPr="00846712">
              <w:rPr>
                <w:rFonts w:ascii="Times New Roman" w:eastAsia="Times New Roman" w:hAnsi="Times New Roman" w:cs="Times New Roman"/>
                <w:sz w:val="24"/>
                <w:szCs w:val="24"/>
                <w:lang w:val="en-US" w:eastAsia="pl-PL"/>
              </w:rPr>
              <w:t>.</w:t>
            </w:r>
          </w:p>
          <w:p w14:paraId="7C58F9FA" w14:textId="4E8A8DE5" w:rsidR="001A77EC" w:rsidRPr="00846712" w:rsidRDefault="00901C2A"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said Court also referred to Article 13 (1) and (2), Article 15 (2), Article 14 (1) and (2), Article 5 (1) and (2), Article 16 of the API Act. It pointed out that in a situation where the requested information does not constitute public information within the meaning of the API Act, as was the case here, the right form of </w:t>
            </w:r>
            <w:r w:rsidR="005204E4">
              <w:rPr>
                <w:rFonts w:ascii="Times New Roman" w:eastAsia="Times New Roman" w:hAnsi="Times New Roman" w:cs="Times New Roman"/>
                <w:sz w:val="24"/>
                <w:szCs w:val="24"/>
                <w:lang w:val="en-US" w:eastAsia="pl-PL"/>
              </w:rPr>
              <w:t>replying</w:t>
            </w:r>
            <w:r w:rsidRPr="00846712">
              <w:rPr>
                <w:rFonts w:ascii="Times New Roman" w:eastAsia="Times New Roman" w:hAnsi="Times New Roman" w:cs="Times New Roman"/>
                <w:sz w:val="24"/>
                <w:szCs w:val="24"/>
                <w:lang w:val="en-US" w:eastAsia="pl-PL"/>
              </w:rPr>
              <w:t xml:space="preserve"> to the request would be sending a letter by the authority notifying the requesting part of the impossibility to apply the provisions of the API Act, which actually happened in this case. Therefore, VAC concluded that the authority had not failed to act in examining the request of [...] October 2016</w:t>
            </w:r>
            <w:r w:rsidR="001A77EC" w:rsidRPr="00846712">
              <w:rPr>
                <w:rFonts w:ascii="Times New Roman" w:eastAsia="Times New Roman" w:hAnsi="Times New Roman" w:cs="Times New Roman"/>
                <w:sz w:val="24"/>
                <w:szCs w:val="24"/>
                <w:lang w:val="en-US" w:eastAsia="pl-PL"/>
              </w:rPr>
              <w:t>.</w:t>
            </w:r>
          </w:p>
          <w:p w14:paraId="7C7AE760" w14:textId="4F3A7EC0" w:rsidR="001A77EC" w:rsidRPr="00846712" w:rsidRDefault="004471D7"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Association filed a cassation appeal against the said judgment, appealing against it in its entirety and claiming that the following provisions of substantive law ha</w:t>
            </w:r>
            <w:r w:rsidR="005204E4">
              <w:rPr>
                <w:rFonts w:ascii="Times New Roman" w:eastAsia="Times New Roman" w:hAnsi="Times New Roman" w:cs="Times New Roman"/>
                <w:sz w:val="24"/>
                <w:szCs w:val="24"/>
                <w:lang w:val="en-US" w:eastAsia="pl-PL"/>
              </w:rPr>
              <w:t>d</w:t>
            </w:r>
            <w:r w:rsidRPr="00846712">
              <w:rPr>
                <w:rFonts w:ascii="Times New Roman" w:eastAsia="Times New Roman" w:hAnsi="Times New Roman" w:cs="Times New Roman"/>
                <w:sz w:val="24"/>
                <w:szCs w:val="24"/>
                <w:lang w:val="en-US" w:eastAsia="pl-PL"/>
              </w:rPr>
              <w:t xml:space="preserve"> been violated</w:t>
            </w:r>
            <w:r w:rsidR="001A77EC" w:rsidRPr="00846712">
              <w:rPr>
                <w:rFonts w:ascii="Times New Roman" w:eastAsia="Times New Roman" w:hAnsi="Times New Roman" w:cs="Times New Roman"/>
                <w:sz w:val="24"/>
                <w:szCs w:val="24"/>
                <w:lang w:val="en-US" w:eastAsia="pl-PL"/>
              </w:rPr>
              <w:t>:</w:t>
            </w:r>
          </w:p>
          <w:p w14:paraId="120B3BF3" w14:textId="6CCEFAC1"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186001" w:rsidRPr="00846712">
              <w:rPr>
                <w:rFonts w:ascii="Times New Roman" w:eastAsia="Times New Roman" w:hAnsi="Times New Roman" w:cs="Times New Roman"/>
                <w:sz w:val="24"/>
                <w:szCs w:val="24"/>
                <w:lang w:val="en-US" w:eastAsia="pl-PL"/>
              </w:rPr>
              <w:t xml:space="preserve">Article 61 (1) of the Constitution of the Republic of Poland, to the extent that this </w:t>
            </w:r>
            <w:r w:rsidR="005204E4">
              <w:rPr>
                <w:rFonts w:ascii="Times New Roman" w:eastAsia="Times New Roman" w:hAnsi="Times New Roman" w:cs="Times New Roman"/>
                <w:sz w:val="24"/>
                <w:szCs w:val="24"/>
                <w:lang w:val="en-US" w:eastAsia="pl-PL"/>
              </w:rPr>
              <w:t>Article provides</w:t>
            </w:r>
            <w:r w:rsidR="00186001" w:rsidRPr="00846712">
              <w:rPr>
                <w:rFonts w:ascii="Times New Roman" w:eastAsia="Times New Roman" w:hAnsi="Times New Roman" w:cs="Times New Roman"/>
                <w:sz w:val="24"/>
                <w:szCs w:val="24"/>
                <w:lang w:val="en-US" w:eastAsia="pl-PL"/>
              </w:rPr>
              <w:t xml:space="preserve"> a normative guarantee of the right to public information, through unauthorized restriction of this right in this case</w:t>
            </w:r>
            <w:r w:rsidRPr="00846712">
              <w:rPr>
                <w:rFonts w:ascii="Times New Roman" w:eastAsia="Times New Roman" w:hAnsi="Times New Roman" w:cs="Times New Roman"/>
                <w:sz w:val="24"/>
                <w:szCs w:val="24"/>
                <w:lang w:val="en-US" w:eastAsia="pl-PL"/>
              </w:rPr>
              <w:t>,</w:t>
            </w:r>
          </w:p>
          <w:p w14:paraId="5407864F" w14:textId="11AD9EBD"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6141B6" w:rsidRPr="00846712">
              <w:rPr>
                <w:rFonts w:ascii="Times New Roman" w:eastAsia="Times New Roman" w:hAnsi="Times New Roman" w:cs="Times New Roman"/>
                <w:sz w:val="24"/>
                <w:szCs w:val="24"/>
                <w:lang w:val="en-US" w:eastAsia="pl-PL"/>
              </w:rPr>
              <w:t xml:space="preserve">Article 61 (1) of the Constitution of the Republic of Poland, to the extent that this </w:t>
            </w:r>
            <w:r w:rsidR="005204E4">
              <w:rPr>
                <w:rFonts w:ascii="Times New Roman" w:eastAsia="Times New Roman" w:hAnsi="Times New Roman" w:cs="Times New Roman"/>
                <w:sz w:val="24"/>
                <w:szCs w:val="24"/>
                <w:lang w:val="en-US" w:eastAsia="pl-PL"/>
              </w:rPr>
              <w:t>Article provides</w:t>
            </w:r>
            <w:r w:rsidR="005204E4" w:rsidRPr="00846712">
              <w:rPr>
                <w:rFonts w:ascii="Times New Roman" w:eastAsia="Times New Roman" w:hAnsi="Times New Roman" w:cs="Times New Roman"/>
                <w:sz w:val="24"/>
                <w:szCs w:val="24"/>
                <w:lang w:val="en-US" w:eastAsia="pl-PL"/>
              </w:rPr>
              <w:t xml:space="preserve"> </w:t>
            </w:r>
            <w:r w:rsidR="006141B6" w:rsidRPr="00846712">
              <w:rPr>
                <w:rFonts w:ascii="Times New Roman" w:eastAsia="Times New Roman" w:hAnsi="Times New Roman" w:cs="Times New Roman"/>
                <w:sz w:val="24"/>
                <w:szCs w:val="24"/>
                <w:lang w:val="en-US" w:eastAsia="pl-PL"/>
              </w:rPr>
              <w:t>a normative guarantee of the right to public information, through incorrect assumption made by the Voivodship Administrative Court in Warsaw that the disclosure of the requested documents does not concern information about the activities of the entity performing public tasks and managing public property</w:t>
            </w:r>
            <w:r w:rsidRPr="00846712">
              <w:rPr>
                <w:rFonts w:ascii="Times New Roman" w:eastAsia="Times New Roman" w:hAnsi="Times New Roman" w:cs="Times New Roman"/>
                <w:sz w:val="24"/>
                <w:szCs w:val="24"/>
                <w:lang w:val="en-US" w:eastAsia="pl-PL"/>
              </w:rPr>
              <w:t>,</w:t>
            </w:r>
          </w:p>
          <w:p w14:paraId="3FB864E8" w14:textId="5262EA8C"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6141B6" w:rsidRPr="00846712">
              <w:rPr>
                <w:rFonts w:ascii="Times New Roman" w:eastAsia="Times New Roman" w:hAnsi="Times New Roman" w:cs="Times New Roman"/>
                <w:sz w:val="24"/>
                <w:szCs w:val="24"/>
                <w:lang w:val="en-US" w:eastAsia="pl-PL"/>
              </w:rPr>
              <w:t>Article 61 (2) of the Constitution of the Republic of Poland, by disregarding this provision, which leads to a violation of the law to the extent that this provision stipulates that the right to obtain information includes access to documents, regardless of the nature thereof</w:t>
            </w:r>
            <w:r w:rsidRPr="00846712">
              <w:rPr>
                <w:rFonts w:ascii="Times New Roman" w:eastAsia="Times New Roman" w:hAnsi="Times New Roman" w:cs="Times New Roman"/>
                <w:sz w:val="24"/>
                <w:szCs w:val="24"/>
                <w:lang w:val="en-US" w:eastAsia="pl-PL"/>
              </w:rPr>
              <w:t>,</w:t>
            </w:r>
          </w:p>
          <w:p w14:paraId="2003FAD0" w14:textId="1536A1A8"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49098D" w:rsidRPr="00846712">
              <w:rPr>
                <w:rFonts w:ascii="Times New Roman" w:eastAsia="Times New Roman" w:hAnsi="Times New Roman" w:cs="Times New Roman"/>
                <w:sz w:val="24"/>
                <w:szCs w:val="24"/>
                <w:lang w:val="en-US" w:eastAsia="pl-PL"/>
              </w:rPr>
              <w:t>Article 61 (2) of the Constitution of the Republic of Poland, by considering that pursuant to Article 6 (2) of the API Act, the right to information comprises “official documents”, whereas the so-called “internal documents” are not subject to the right to information</w:t>
            </w:r>
            <w:r w:rsidRPr="00846712">
              <w:rPr>
                <w:rFonts w:ascii="Times New Roman" w:eastAsia="Times New Roman" w:hAnsi="Times New Roman" w:cs="Times New Roman"/>
                <w:sz w:val="24"/>
                <w:szCs w:val="24"/>
                <w:lang w:val="en-US" w:eastAsia="pl-PL"/>
              </w:rPr>
              <w:t>,</w:t>
            </w:r>
          </w:p>
          <w:p w14:paraId="53B9D1EE" w14:textId="4CAF69F6"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49098D" w:rsidRPr="00846712">
              <w:rPr>
                <w:rFonts w:ascii="Times New Roman" w:eastAsia="Times New Roman" w:hAnsi="Times New Roman" w:cs="Times New Roman"/>
                <w:sz w:val="24"/>
                <w:szCs w:val="24"/>
                <w:lang w:val="en-US" w:eastAsia="pl-PL"/>
              </w:rPr>
              <w:t>Article 61 (3) in connection with Article 31 (3) of the Constitution of the Republic of Poland, to the extent that this provision stipulates that the restriction of the constitutional right to public information may apply only on the grounds of protection of freedoms and rights of other persons and business entities, as well as protection of public order, security or material economic interest of the state, through unauthorized, too far-reaching restriction of the right to information without a legal basis in this case, which does not result from the need to protect the constitutional values ​​specified in these provisions</w:t>
            </w:r>
            <w:r w:rsidRPr="00846712">
              <w:rPr>
                <w:rFonts w:ascii="Times New Roman" w:eastAsia="Times New Roman" w:hAnsi="Times New Roman" w:cs="Times New Roman"/>
                <w:sz w:val="24"/>
                <w:szCs w:val="24"/>
                <w:lang w:val="en-US" w:eastAsia="pl-PL"/>
              </w:rPr>
              <w:t>,</w:t>
            </w:r>
          </w:p>
          <w:p w14:paraId="1AB78588" w14:textId="42110D12"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49098D" w:rsidRPr="00846712">
              <w:rPr>
                <w:rFonts w:ascii="Times New Roman" w:eastAsia="Times New Roman" w:hAnsi="Times New Roman" w:cs="Times New Roman"/>
                <w:sz w:val="24"/>
                <w:szCs w:val="24"/>
                <w:lang w:val="en-US" w:eastAsia="pl-PL"/>
              </w:rPr>
              <w:t>Article 1 (1) of the API Act, to the extent that it stipulates that public information is any information about public matters, through incorrect assumption made by the Voivodship Administrative Court in Warsaw that the requested documents do not relate to information on public matters, i.e. public information</w:t>
            </w:r>
            <w:r w:rsidRPr="00846712">
              <w:rPr>
                <w:rFonts w:ascii="Times New Roman" w:eastAsia="Times New Roman" w:hAnsi="Times New Roman" w:cs="Times New Roman"/>
                <w:sz w:val="24"/>
                <w:szCs w:val="24"/>
                <w:lang w:val="en-US" w:eastAsia="pl-PL"/>
              </w:rPr>
              <w:t>,</w:t>
            </w:r>
          </w:p>
          <w:p w14:paraId="0D8A85BB" w14:textId="7E4A690F"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540591" w:rsidRPr="00846712">
              <w:rPr>
                <w:rFonts w:ascii="Times New Roman" w:eastAsia="Times New Roman" w:hAnsi="Times New Roman" w:cs="Times New Roman"/>
                <w:sz w:val="24"/>
                <w:szCs w:val="24"/>
                <w:lang w:val="en-US" w:eastAsia="pl-PL"/>
              </w:rPr>
              <w:t xml:space="preserve">Article 1 (1) of the API Act, to the extent that it stipulates that public information is any information about public matters, through unauthorized assumption that, no matter how </w:t>
            </w:r>
            <w:r w:rsidR="00540591" w:rsidRPr="00846712">
              <w:rPr>
                <w:rFonts w:ascii="Times New Roman" w:eastAsia="Times New Roman" w:hAnsi="Times New Roman" w:cs="Times New Roman"/>
                <w:sz w:val="24"/>
                <w:szCs w:val="24"/>
                <w:lang w:val="en-US" w:eastAsia="pl-PL"/>
              </w:rPr>
              <w:lastRenderedPageBreak/>
              <w:t>understood, “internal documents” do not constitute public information and, therefore, unlawful restriction of the right to public information</w:t>
            </w:r>
            <w:r w:rsidRPr="00846712">
              <w:rPr>
                <w:rFonts w:ascii="Times New Roman" w:eastAsia="Times New Roman" w:hAnsi="Times New Roman" w:cs="Times New Roman"/>
                <w:sz w:val="24"/>
                <w:szCs w:val="24"/>
                <w:lang w:val="en-US" w:eastAsia="pl-PL"/>
              </w:rPr>
              <w:t>.</w:t>
            </w:r>
          </w:p>
          <w:p w14:paraId="163909D0" w14:textId="211A842F" w:rsidR="001A77EC" w:rsidRPr="00846712" w:rsidRDefault="007011D0"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Based on the above-mentioned claims, the Association requested (1) revocation of the judgment appealed against and referring the case for re-examination by the VAC in Warsaw, (2) awarding reimbursement of costs of the proceedings before the Court of first instance to the Association, (3) awarding reimbursement of costs of the cassation proceedings, including costs of legal representation, according to prescribed rates, (4) examination of the case at </w:t>
            </w:r>
            <w:r w:rsidR="001D1648">
              <w:rPr>
                <w:rFonts w:ascii="Times New Roman" w:eastAsia="Times New Roman" w:hAnsi="Times New Roman" w:cs="Times New Roman"/>
                <w:sz w:val="24"/>
                <w:szCs w:val="24"/>
                <w:lang w:val="en-US" w:eastAsia="pl-PL"/>
              </w:rPr>
              <w:t>a</w:t>
            </w:r>
            <w:r w:rsidRPr="00846712">
              <w:rPr>
                <w:rFonts w:ascii="Times New Roman" w:eastAsia="Times New Roman" w:hAnsi="Times New Roman" w:cs="Times New Roman"/>
                <w:sz w:val="24"/>
                <w:szCs w:val="24"/>
                <w:lang w:val="en-US" w:eastAsia="pl-PL"/>
              </w:rPr>
              <w:t xml:space="preserve"> hearing. The cassation appeal contains justification of the claims</w:t>
            </w:r>
            <w:r w:rsidR="001A77EC" w:rsidRPr="00846712">
              <w:rPr>
                <w:rFonts w:ascii="Times New Roman" w:eastAsia="Times New Roman" w:hAnsi="Times New Roman" w:cs="Times New Roman"/>
                <w:sz w:val="24"/>
                <w:szCs w:val="24"/>
                <w:lang w:val="en-US" w:eastAsia="pl-PL"/>
              </w:rPr>
              <w:t>.</w:t>
            </w:r>
          </w:p>
          <w:p w14:paraId="253A30DA" w14:textId="6C0188F8" w:rsidR="001A77EC" w:rsidRPr="00846712" w:rsidRDefault="007011D0"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In reply to the cassation appeal, the Minister requested the Court to dismiss it and order the applicant to be reimburse costs of legal representation in the cassation proceedings to the Minister according to prescribed rates, upholding at the same time the arguments </w:t>
            </w:r>
            <w:r w:rsidR="001D1648">
              <w:rPr>
                <w:rFonts w:ascii="Times New Roman" w:eastAsia="Times New Roman" w:hAnsi="Times New Roman" w:cs="Times New Roman"/>
                <w:sz w:val="24"/>
                <w:szCs w:val="24"/>
                <w:lang w:val="en-US" w:eastAsia="pl-PL"/>
              </w:rPr>
              <w:t xml:space="preserve">previously </w:t>
            </w:r>
            <w:r w:rsidRPr="00846712">
              <w:rPr>
                <w:rFonts w:ascii="Times New Roman" w:eastAsia="Times New Roman" w:hAnsi="Times New Roman" w:cs="Times New Roman"/>
                <w:sz w:val="24"/>
                <w:szCs w:val="24"/>
                <w:lang w:val="en-US" w:eastAsia="pl-PL"/>
              </w:rPr>
              <w:t>presented</w:t>
            </w:r>
            <w:r w:rsidR="001A77EC" w:rsidRPr="00846712">
              <w:rPr>
                <w:rFonts w:ascii="Times New Roman" w:eastAsia="Times New Roman" w:hAnsi="Times New Roman" w:cs="Times New Roman"/>
                <w:sz w:val="24"/>
                <w:szCs w:val="24"/>
                <w:lang w:val="en-US" w:eastAsia="pl-PL"/>
              </w:rPr>
              <w:t>.</w:t>
            </w:r>
          </w:p>
          <w:p w14:paraId="4470EF31" w14:textId="464136D7" w:rsidR="001A77EC" w:rsidRPr="00846712" w:rsidRDefault="00A845CB"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Supreme Administrative Court considered the following</w:t>
            </w:r>
            <w:r w:rsidR="001A77EC" w:rsidRPr="00846712">
              <w:rPr>
                <w:rFonts w:ascii="Times New Roman" w:eastAsia="Times New Roman" w:hAnsi="Times New Roman" w:cs="Times New Roman"/>
                <w:sz w:val="24"/>
                <w:szCs w:val="24"/>
                <w:lang w:val="en-US" w:eastAsia="pl-PL"/>
              </w:rPr>
              <w:t>:</w:t>
            </w:r>
          </w:p>
          <w:p w14:paraId="3B94F608" w14:textId="0856BDF4" w:rsidR="001A77EC" w:rsidRPr="00846712" w:rsidRDefault="00A845CB"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In the light of Article 174 of the Law on </w:t>
            </w:r>
            <w:r w:rsidR="001D1648" w:rsidRPr="00846712">
              <w:rPr>
                <w:rFonts w:ascii="Times New Roman" w:eastAsia="Times New Roman" w:hAnsi="Times New Roman" w:cs="Times New Roman"/>
                <w:sz w:val="24"/>
                <w:szCs w:val="24"/>
                <w:lang w:val="en-US" w:eastAsia="pl-PL"/>
              </w:rPr>
              <w:t xml:space="preserve">Proceedings </w:t>
            </w:r>
            <w:r w:rsidR="001D1648">
              <w:rPr>
                <w:rFonts w:ascii="Times New Roman" w:eastAsia="Times New Roman" w:hAnsi="Times New Roman" w:cs="Times New Roman"/>
                <w:sz w:val="24"/>
                <w:szCs w:val="24"/>
                <w:lang w:val="en-US" w:eastAsia="pl-PL"/>
              </w:rPr>
              <w:t>b</w:t>
            </w:r>
            <w:r w:rsidR="001D1648" w:rsidRPr="00846712">
              <w:rPr>
                <w:rFonts w:ascii="Times New Roman" w:eastAsia="Times New Roman" w:hAnsi="Times New Roman" w:cs="Times New Roman"/>
                <w:sz w:val="24"/>
                <w:szCs w:val="24"/>
                <w:lang w:val="en-US" w:eastAsia="pl-PL"/>
              </w:rPr>
              <w:t xml:space="preserve">efore Administrative Courts </w:t>
            </w:r>
            <w:r w:rsidRPr="00846712">
              <w:rPr>
                <w:rFonts w:ascii="Times New Roman" w:eastAsia="Times New Roman" w:hAnsi="Times New Roman" w:cs="Times New Roman"/>
                <w:sz w:val="24"/>
                <w:szCs w:val="24"/>
                <w:lang w:val="en-US" w:eastAsia="pl-PL"/>
              </w:rPr>
              <w:t>(</w:t>
            </w:r>
            <w:bookmarkStart w:id="1" w:name="_Hlk99552418"/>
            <w:r w:rsidRPr="00846712">
              <w:rPr>
                <w:rFonts w:ascii="Times New Roman" w:eastAsia="Times New Roman" w:hAnsi="Times New Roman" w:cs="Times New Roman"/>
                <w:sz w:val="24"/>
                <w:szCs w:val="24"/>
                <w:lang w:val="en-US" w:eastAsia="pl-PL"/>
              </w:rPr>
              <w:t>LPAC</w:t>
            </w:r>
            <w:bookmarkEnd w:id="1"/>
            <w:r w:rsidRPr="00846712">
              <w:rPr>
                <w:rFonts w:ascii="Times New Roman" w:eastAsia="Times New Roman" w:hAnsi="Times New Roman" w:cs="Times New Roman"/>
                <w:sz w:val="24"/>
                <w:szCs w:val="24"/>
                <w:lang w:val="en-US" w:eastAsia="pl-PL"/>
              </w:rPr>
              <w:t xml:space="preserve">), a cassation appeal may </w:t>
            </w:r>
            <w:r w:rsidR="001D1648">
              <w:rPr>
                <w:rFonts w:ascii="Times New Roman" w:eastAsia="Times New Roman" w:hAnsi="Times New Roman" w:cs="Times New Roman"/>
                <w:sz w:val="24"/>
                <w:szCs w:val="24"/>
                <w:lang w:val="en-US" w:eastAsia="pl-PL"/>
              </w:rPr>
              <w:t>be filed on</w:t>
            </w:r>
            <w:r w:rsidRPr="00846712">
              <w:rPr>
                <w:rFonts w:ascii="Times New Roman" w:eastAsia="Times New Roman" w:hAnsi="Times New Roman" w:cs="Times New Roman"/>
                <w:sz w:val="24"/>
                <w:szCs w:val="24"/>
                <w:lang w:val="en-US" w:eastAsia="pl-PL"/>
              </w:rPr>
              <w:t xml:space="preserve"> the following basis</w:t>
            </w:r>
            <w:r w:rsidR="001A77EC" w:rsidRPr="00846712">
              <w:rPr>
                <w:rFonts w:ascii="Times New Roman" w:eastAsia="Times New Roman" w:hAnsi="Times New Roman" w:cs="Times New Roman"/>
                <w:sz w:val="24"/>
                <w:szCs w:val="24"/>
                <w:lang w:val="en-US" w:eastAsia="pl-PL"/>
              </w:rPr>
              <w:t>:</w:t>
            </w:r>
          </w:p>
          <w:p w14:paraId="5CAF5278" w14:textId="66D61A19"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1) </w:t>
            </w:r>
            <w:r w:rsidR="00A845CB" w:rsidRPr="00846712">
              <w:rPr>
                <w:rFonts w:ascii="Times New Roman" w:eastAsia="Times New Roman" w:hAnsi="Times New Roman" w:cs="Times New Roman"/>
                <w:sz w:val="24"/>
                <w:szCs w:val="24"/>
                <w:lang w:val="en-US" w:eastAsia="pl-PL"/>
              </w:rPr>
              <w:t>violation of substantive law due to its incorrect interpretation or application</w:t>
            </w:r>
            <w:r w:rsidRPr="00846712">
              <w:rPr>
                <w:rFonts w:ascii="Times New Roman" w:eastAsia="Times New Roman" w:hAnsi="Times New Roman" w:cs="Times New Roman"/>
                <w:sz w:val="24"/>
                <w:szCs w:val="24"/>
                <w:lang w:val="en-US" w:eastAsia="pl-PL"/>
              </w:rPr>
              <w:t>,</w:t>
            </w:r>
          </w:p>
          <w:p w14:paraId="4CFB9CF6" w14:textId="2CEE2068"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2) </w:t>
            </w:r>
            <w:r w:rsidR="00A845CB" w:rsidRPr="00846712">
              <w:rPr>
                <w:rFonts w:ascii="Times New Roman" w:eastAsia="Times New Roman" w:hAnsi="Times New Roman" w:cs="Times New Roman"/>
                <w:sz w:val="24"/>
                <w:szCs w:val="24"/>
                <w:lang w:val="en-US" w:eastAsia="pl-PL"/>
              </w:rPr>
              <w:t>violation of procedural provisions, if the violation could have had a significant impact on the outcome of the case</w:t>
            </w:r>
            <w:r w:rsidRPr="00846712">
              <w:rPr>
                <w:rFonts w:ascii="Times New Roman" w:eastAsia="Times New Roman" w:hAnsi="Times New Roman" w:cs="Times New Roman"/>
                <w:sz w:val="24"/>
                <w:szCs w:val="24"/>
                <w:lang w:val="en-US" w:eastAsia="pl-PL"/>
              </w:rPr>
              <w:t>.</w:t>
            </w:r>
          </w:p>
          <w:p w14:paraId="6BC15B43" w14:textId="513AAB0E" w:rsidR="001A77EC" w:rsidRPr="00846712" w:rsidRDefault="003D7039"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Supreme Administrative Court is bound by the basis for the cassation appeal, because pursuant to Article 183 § 1 LPAC, it examines the case within the limits of the cassation appeal, </w:t>
            </w:r>
            <w:r w:rsidRPr="00846712">
              <w:rPr>
                <w:rFonts w:ascii="Times New Roman" w:eastAsia="Times New Roman" w:hAnsi="Times New Roman" w:cs="Times New Roman"/>
                <w:i/>
                <w:iCs/>
                <w:sz w:val="24"/>
                <w:szCs w:val="24"/>
                <w:lang w:val="en-US" w:eastAsia="pl-PL"/>
              </w:rPr>
              <w:t>ex officio</w:t>
            </w:r>
            <w:r w:rsidRPr="00846712">
              <w:rPr>
                <w:rFonts w:ascii="Times New Roman" w:eastAsia="Times New Roman" w:hAnsi="Times New Roman" w:cs="Times New Roman"/>
                <w:sz w:val="24"/>
                <w:szCs w:val="24"/>
                <w:lang w:val="en-US" w:eastAsia="pl-PL"/>
              </w:rPr>
              <w:t xml:space="preserve"> taking into account only the invalidity of the proceedings. Therefore, if there are no </w:t>
            </w:r>
            <w:r w:rsidR="001D1648">
              <w:rPr>
                <w:rFonts w:ascii="Times New Roman" w:eastAsia="Times New Roman" w:hAnsi="Times New Roman" w:cs="Times New Roman"/>
                <w:sz w:val="24"/>
                <w:szCs w:val="24"/>
                <w:lang w:val="en-US" w:eastAsia="pl-PL"/>
              </w:rPr>
              <w:t>basis</w:t>
            </w:r>
            <w:r w:rsidRPr="00846712">
              <w:rPr>
                <w:rFonts w:ascii="Times New Roman" w:eastAsia="Times New Roman" w:hAnsi="Times New Roman" w:cs="Times New Roman"/>
                <w:sz w:val="24"/>
                <w:szCs w:val="24"/>
                <w:lang w:val="en-US" w:eastAsia="pl-PL"/>
              </w:rPr>
              <w:t xml:space="preserve"> for declaring invalidity of the proceedings referred to in Article 183 § 2 LPAC, and there are no such </w:t>
            </w:r>
            <w:r w:rsidR="001D1648">
              <w:rPr>
                <w:rFonts w:ascii="Times New Roman" w:eastAsia="Times New Roman" w:hAnsi="Times New Roman" w:cs="Times New Roman"/>
                <w:sz w:val="24"/>
                <w:szCs w:val="24"/>
                <w:lang w:val="en-US" w:eastAsia="pl-PL"/>
              </w:rPr>
              <w:t>basis</w:t>
            </w:r>
            <w:r w:rsidR="001D1648" w:rsidRPr="00846712">
              <w:rPr>
                <w:rFonts w:ascii="Times New Roman" w:eastAsia="Times New Roman" w:hAnsi="Times New Roman" w:cs="Times New Roman"/>
                <w:sz w:val="24"/>
                <w:szCs w:val="24"/>
                <w:lang w:val="en-US" w:eastAsia="pl-PL"/>
              </w:rPr>
              <w:t xml:space="preserve"> </w:t>
            </w:r>
            <w:r w:rsidRPr="00846712">
              <w:rPr>
                <w:rFonts w:ascii="Times New Roman" w:eastAsia="Times New Roman" w:hAnsi="Times New Roman" w:cs="Times New Roman"/>
                <w:sz w:val="24"/>
                <w:szCs w:val="24"/>
                <w:lang w:val="en-US" w:eastAsia="pl-PL"/>
              </w:rPr>
              <w:t xml:space="preserve">in this case, the Court is bound by the limits of the cassation appeal. This means that the Court is not authorized to independently </w:t>
            </w:r>
            <w:r w:rsidR="001D1648">
              <w:rPr>
                <w:rFonts w:ascii="Times New Roman" w:eastAsia="Times New Roman" w:hAnsi="Times New Roman" w:cs="Times New Roman"/>
                <w:sz w:val="24"/>
                <w:szCs w:val="24"/>
                <w:lang w:val="en-US" w:eastAsia="pl-PL"/>
              </w:rPr>
              <w:t>make</w:t>
            </w:r>
            <w:r w:rsidRPr="00846712">
              <w:rPr>
                <w:rFonts w:ascii="Times New Roman" w:eastAsia="Times New Roman" w:hAnsi="Times New Roman" w:cs="Times New Roman"/>
                <w:sz w:val="24"/>
                <w:szCs w:val="24"/>
                <w:lang w:val="en-US" w:eastAsia="pl-PL"/>
              </w:rPr>
              <w:t xml:space="preserve"> claims described in the cassation appeal</w:t>
            </w:r>
            <w:r w:rsidR="001D1648">
              <w:rPr>
                <w:rFonts w:ascii="Times New Roman" w:eastAsia="Times New Roman" w:hAnsi="Times New Roman" w:cs="Times New Roman"/>
                <w:sz w:val="24"/>
                <w:szCs w:val="24"/>
                <w:lang w:val="en-US" w:eastAsia="pl-PL"/>
              </w:rPr>
              <w:t xml:space="preserve"> more precise</w:t>
            </w:r>
            <w:r w:rsidRPr="00846712">
              <w:rPr>
                <w:rFonts w:ascii="Times New Roman" w:eastAsia="Times New Roman" w:hAnsi="Times New Roman" w:cs="Times New Roman"/>
                <w:sz w:val="24"/>
                <w:szCs w:val="24"/>
                <w:lang w:val="en-US" w:eastAsia="pl-PL"/>
              </w:rPr>
              <w:t>, being only authorized to assess the judgment appealed against within the limits specified in the submitted cassation appeal</w:t>
            </w:r>
            <w:r w:rsidR="001A77EC" w:rsidRPr="00846712">
              <w:rPr>
                <w:rFonts w:ascii="Times New Roman" w:eastAsia="Times New Roman" w:hAnsi="Times New Roman" w:cs="Times New Roman"/>
                <w:sz w:val="24"/>
                <w:szCs w:val="24"/>
                <w:lang w:val="en-US" w:eastAsia="pl-PL"/>
              </w:rPr>
              <w:t>.</w:t>
            </w:r>
          </w:p>
          <w:p w14:paraId="73D707A2" w14:textId="31469A7E" w:rsidR="001A77EC" w:rsidRPr="00846712" w:rsidRDefault="003D7039"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cassation appeal does not contain any justified basis</w:t>
            </w:r>
            <w:r w:rsidR="001A77EC" w:rsidRPr="00846712">
              <w:rPr>
                <w:rFonts w:ascii="Times New Roman" w:eastAsia="Times New Roman" w:hAnsi="Times New Roman" w:cs="Times New Roman"/>
                <w:sz w:val="24"/>
                <w:szCs w:val="24"/>
                <w:lang w:val="en-US" w:eastAsia="pl-PL"/>
              </w:rPr>
              <w:t>.</w:t>
            </w:r>
          </w:p>
          <w:p w14:paraId="1B4CBA14" w14:textId="395E73B1" w:rsidR="001A77EC" w:rsidRPr="00846712" w:rsidRDefault="00456107"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In order to assess whether the authority is failing to act in the scope of provision of public information, it is important to determine whether it </w:t>
            </w:r>
            <w:r w:rsidR="001D1648">
              <w:rPr>
                <w:rFonts w:ascii="Times New Roman" w:eastAsia="Times New Roman" w:hAnsi="Times New Roman" w:cs="Times New Roman"/>
                <w:sz w:val="24"/>
                <w:szCs w:val="24"/>
                <w:lang w:val="en-US" w:eastAsia="pl-PL"/>
              </w:rPr>
              <w:t>holds</w:t>
            </w:r>
            <w:r w:rsidRPr="00846712">
              <w:rPr>
                <w:rFonts w:ascii="Times New Roman" w:eastAsia="Times New Roman" w:hAnsi="Times New Roman" w:cs="Times New Roman"/>
                <w:sz w:val="24"/>
                <w:szCs w:val="24"/>
                <w:lang w:val="en-US" w:eastAsia="pl-PL"/>
              </w:rPr>
              <w:t xml:space="preserve"> information that is public information within the meaning of Article 6 (1) and (2) of the API Act and whether it is an entity obliged to disclose such information. Having said so, pursuant to Article 4 (3) of the API Act, entities specified in sections 1 and 2 of this Article are required to provide information as long as they have it</w:t>
            </w:r>
            <w:r w:rsidR="001A77EC" w:rsidRPr="00846712">
              <w:rPr>
                <w:rFonts w:ascii="Times New Roman" w:eastAsia="Times New Roman" w:hAnsi="Times New Roman" w:cs="Times New Roman"/>
                <w:sz w:val="24"/>
                <w:szCs w:val="24"/>
                <w:lang w:val="en-US" w:eastAsia="pl-PL"/>
              </w:rPr>
              <w:t>.</w:t>
            </w:r>
          </w:p>
          <w:p w14:paraId="698B5E37" w14:textId="778912FB" w:rsidR="001A77EC" w:rsidRPr="00846712" w:rsidRDefault="00456107"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In this case, when assessing the claim contained in the applicant's request, the Court of first instance came to the conclusion that it did not relate to public information within the meaning of the provisions of the API Act and explained that the information related to internal documents</w:t>
            </w:r>
            <w:r w:rsidR="001D1648">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to which the API Act did not apply. The above-mentioned position of the Court of first instance could not be effectively challenged by the claims contained in the cassation appeal</w:t>
            </w:r>
            <w:r w:rsidR="001A77EC" w:rsidRPr="00846712">
              <w:rPr>
                <w:rFonts w:ascii="Times New Roman" w:eastAsia="Times New Roman" w:hAnsi="Times New Roman" w:cs="Times New Roman"/>
                <w:sz w:val="24"/>
                <w:szCs w:val="24"/>
                <w:lang w:val="en-US" w:eastAsia="pl-PL"/>
              </w:rPr>
              <w:t>.</w:t>
            </w:r>
          </w:p>
          <w:p w14:paraId="22AA52BA" w14:textId="09C22942" w:rsidR="001A77EC" w:rsidRPr="00846712" w:rsidRDefault="001D1648"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Pr>
                <w:rFonts w:ascii="Times New Roman" w:eastAsia="Times New Roman" w:hAnsi="Times New Roman" w:cs="Times New Roman"/>
                <w:sz w:val="24"/>
                <w:szCs w:val="24"/>
                <w:lang w:val="en-US" w:eastAsia="pl-PL"/>
              </w:rPr>
              <w:lastRenderedPageBreak/>
              <w:t>First</w:t>
            </w:r>
            <w:r w:rsidR="00456107" w:rsidRPr="00846712">
              <w:rPr>
                <w:rFonts w:ascii="Times New Roman" w:eastAsia="Times New Roman" w:hAnsi="Times New Roman" w:cs="Times New Roman"/>
                <w:sz w:val="24"/>
                <w:szCs w:val="24"/>
                <w:lang w:val="en-US" w:eastAsia="pl-PL"/>
              </w:rPr>
              <w:t xml:space="preserve">, the party filing the cassation appeal claimed that there was a violation of the provisions of the Basic Law, challenging the interpretation and application of Article 61 (1) of the Constitution by assuming that the right to information does not include information requested by the appealing party; application of Article 61 (2) of the Constitution by restricting access to documents held by the authority, and Article 61 (3) in connection with Article 31 (3) of the Constitution by restricting access to information despite there were no grounds for </w:t>
            </w:r>
            <w:r>
              <w:rPr>
                <w:rFonts w:ascii="Times New Roman" w:eastAsia="Times New Roman" w:hAnsi="Times New Roman" w:cs="Times New Roman"/>
                <w:sz w:val="24"/>
                <w:szCs w:val="24"/>
                <w:lang w:val="en-US" w:eastAsia="pl-PL"/>
              </w:rPr>
              <w:t>such</w:t>
            </w:r>
            <w:r w:rsidR="00456107" w:rsidRPr="00846712">
              <w:rPr>
                <w:rFonts w:ascii="Times New Roman" w:eastAsia="Times New Roman" w:hAnsi="Times New Roman" w:cs="Times New Roman"/>
                <w:sz w:val="24"/>
                <w:szCs w:val="24"/>
                <w:lang w:val="en-US" w:eastAsia="pl-PL"/>
              </w:rPr>
              <w:t xml:space="preserve"> restriction in this case</w:t>
            </w:r>
            <w:r w:rsidR="001A77EC" w:rsidRPr="00846712">
              <w:rPr>
                <w:rFonts w:ascii="Times New Roman" w:eastAsia="Times New Roman" w:hAnsi="Times New Roman" w:cs="Times New Roman"/>
                <w:sz w:val="24"/>
                <w:szCs w:val="24"/>
                <w:lang w:val="en-US" w:eastAsia="pl-PL"/>
              </w:rPr>
              <w:t>.</w:t>
            </w:r>
          </w:p>
          <w:p w14:paraId="7B346EE0" w14:textId="56E85360" w:rsidR="001A77EC" w:rsidRPr="00846712" w:rsidRDefault="00FA499A"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The scope of the right to public information is specified in the Constitution of the Republic of Poland by defining what public information is and how it can be accessed. The public information is defined in Article 61 (1) of the Constitution of the Republic of Poland, which specifies what the public information relates to, whereas the forms of access to this information are specified in Article 61 (2) of the Constitution of the Republic of Poland. Pursuant to Article 61 (1) of the Constitution of the Republic of Poland, the “right to obtain information” is the right to be informed about “activities of public authorities and persons holding public functions”, which means that it is the right to be informed about the activities of public authorities and the activities of persons holding public functions. In addition, this right also covers obtaining information about “activities of economic and professional self-government bodies, as well as other persons and organizational units, to the extent that they perform tasks of public authority and manage municipal property or the property of the State Treasury”, which means that it is a right to information on the activities of economic and professional self-government bodies and the right to information on the activities of other persons and organizational units to the extent that they perform tasks of public authority and manage municipal property or the property of the State Treasury (cf. judgment of the Supreme Administrative Court of 23 November 2018, file ref. No.</w:t>
            </w:r>
            <w:r w:rsidR="001A77EC" w:rsidRPr="00846712">
              <w:rPr>
                <w:rFonts w:ascii="Times New Roman" w:eastAsia="Times New Roman" w:hAnsi="Times New Roman" w:cs="Times New Roman"/>
                <w:sz w:val="24"/>
                <w:szCs w:val="24"/>
                <w:lang w:val="en-US" w:eastAsia="pl-PL"/>
              </w:rPr>
              <w:t xml:space="preserve"> I OSK 244/170).</w:t>
            </w:r>
          </w:p>
          <w:p w14:paraId="258E8841" w14:textId="731C6066" w:rsidR="001A77EC" w:rsidRPr="00846712" w:rsidRDefault="00AF75FD"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Article 61 (2) of the Constitution of the Republic of Poland does not specify what public information relates to, but defines forms of accessing it, by stipulating that “The right to obtain information includes access to documents and admission to meetings of collective public authorities elected in general elections, with the possibility of sound or image recording”. This provision read jointly with Article 61 (1) of the Constitution of the Republic of Poland does not modify the definition of public information, but leads to the conclusion that both access to documents and admission to meetings of collective public authorities elected in general elections are forms of obtaining information about the activities of entities specified in Article 61 (1) of the Constitution of the Republic of Poland</w:t>
            </w:r>
            <w:r w:rsidR="001A77EC" w:rsidRPr="00846712">
              <w:rPr>
                <w:rFonts w:ascii="Times New Roman" w:eastAsia="Times New Roman" w:hAnsi="Times New Roman" w:cs="Times New Roman"/>
                <w:sz w:val="24"/>
                <w:szCs w:val="24"/>
                <w:lang w:val="en-US" w:eastAsia="pl-PL"/>
              </w:rPr>
              <w:t>.</w:t>
            </w:r>
          </w:p>
          <w:p w14:paraId="680DE945" w14:textId="21243FA8" w:rsidR="001A77EC" w:rsidRPr="00846712" w:rsidRDefault="00AF75FD"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right to public information is the right to information about the activities of entities </w:t>
            </w:r>
            <w:r w:rsidR="00D4637D">
              <w:rPr>
                <w:rFonts w:ascii="Times New Roman" w:eastAsia="Times New Roman" w:hAnsi="Times New Roman" w:cs="Times New Roman"/>
                <w:sz w:val="24"/>
                <w:szCs w:val="24"/>
                <w:lang w:val="en-US" w:eastAsia="pl-PL"/>
              </w:rPr>
              <w:t>listed</w:t>
            </w:r>
            <w:r w:rsidRPr="00846712">
              <w:rPr>
                <w:rFonts w:ascii="Times New Roman" w:eastAsia="Times New Roman" w:hAnsi="Times New Roman" w:cs="Times New Roman"/>
                <w:sz w:val="24"/>
                <w:szCs w:val="24"/>
                <w:lang w:val="en-US" w:eastAsia="pl-PL"/>
              </w:rPr>
              <w:t xml:space="preserve"> in the Constitution of the Republic of Poland, i.e. about such activities of these entities, which are aimed at fulfilling specific public tasks and pursuing specific public interests and goals, which, however, does not include every single manifestation of these authorities’ activities</w:t>
            </w:r>
            <w:r w:rsidR="001A77EC" w:rsidRPr="00846712">
              <w:rPr>
                <w:rFonts w:ascii="Times New Roman" w:eastAsia="Times New Roman" w:hAnsi="Times New Roman" w:cs="Times New Roman"/>
                <w:sz w:val="24"/>
                <w:szCs w:val="24"/>
                <w:lang w:val="en-US" w:eastAsia="pl-PL"/>
              </w:rPr>
              <w:t>.</w:t>
            </w:r>
          </w:p>
          <w:p w14:paraId="78BAFD17" w14:textId="173A7E33" w:rsidR="001A77EC" w:rsidRPr="00846712" w:rsidRDefault="00CA4CA9"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The concept of “public information” was defined by the legislator in Article 1 (1) and Article 6 of the API Act, by specifying that such information is any information about public matters, in particular about matters listed in Article 6 (1) and (2), whereas an official document within the meaning of the API Act is meant as the content of a declaration of will or knowledge, recorded and signed in any form by a public official, as defined in the Act of 6 June 1997 </w:t>
            </w:r>
            <w:r w:rsidR="00D4637D">
              <w:rPr>
                <w:rFonts w:ascii="Times New Roman" w:eastAsia="Times New Roman" w:hAnsi="Times New Roman" w:cs="Times New Roman"/>
                <w:sz w:val="24"/>
                <w:szCs w:val="24"/>
                <w:lang w:val="en-US" w:eastAsia="pl-PL"/>
              </w:rPr>
              <w:t xml:space="preserve">on </w:t>
            </w:r>
            <w:r w:rsidRPr="00846712">
              <w:rPr>
                <w:rFonts w:ascii="Times New Roman" w:eastAsia="Times New Roman" w:hAnsi="Times New Roman" w:cs="Times New Roman"/>
                <w:sz w:val="24"/>
                <w:szCs w:val="24"/>
                <w:lang w:val="en-US" w:eastAsia="pl-PL"/>
              </w:rPr>
              <w:t>Criminal Code (Journal of Laws No. 88, item 553, as amended), falling within the scope its competence, addressed to another entity or placed in the case file</w:t>
            </w:r>
            <w:r w:rsidR="001A77EC" w:rsidRPr="00846712">
              <w:rPr>
                <w:rFonts w:ascii="Times New Roman" w:eastAsia="Times New Roman" w:hAnsi="Times New Roman" w:cs="Times New Roman"/>
                <w:sz w:val="24"/>
                <w:szCs w:val="24"/>
                <w:lang w:val="en-US" w:eastAsia="pl-PL"/>
              </w:rPr>
              <w:t>.</w:t>
            </w:r>
          </w:p>
          <w:p w14:paraId="388C5351" w14:textId="3A083A40" w:rsidR="001A77EC" w:rsidRPr="00846712" w:rsidRDefault="00A11A22"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lastRenderedPageBreak/>
              <w:t>When defining the concept of public information, the legislator referred to the “public matter” category, since pursuant to Article 1 (1) of the API Act, “any information on public matters” is the public information within the meaning of the said Act. Although the API Act does not define the concept of a “public matter”, public matters are with no doubt meant to be matters related to the existence and functioning of a specific public-law community. If a given matter is defined as “public”, this suggests that it is a general matter and largely corresponds to the concept of the common good (general good). Such an understanding of the concept of “public matter”, related precisely to the public authority and the public-law community</w:t>
            </w:r>
            <w:r w:rsidR="00D4637D">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 xml:space="preserve"> as well as its functioning, is rightly highlighted in the doctrine and jurisprudence </w:t>
            </w:r>
            <w:r w:rsidR="001A77EC" w:rsidRPr="00846712">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cf.</w:t>
            </w:r>
            <w:r w:rsidR="001A77EC" w:rsidRPr="00846712">
              <w:rPr>
                <w:rFonts w:ascii="Times New Roman" w:eastAsia="Times New Roman" w:hAnsi="Times New Roman" w:cs="Times New Roman"/>
                <w:sz w:val="24"/>
                <w:szCs w:val="24"/>
                <w:lang w:val="en-US" w:eastAsia="pl-PL"/>
              </w:rPr>
              <w:t xml:space="preserve">: H. </w:t>
            </w:r>
            <w:proofErr w:type="spellStart"/>
            <w:r w:rsidR="001A77EC" w:rsidRPr="00846712">
              <w:rPr>
                <w:rFonts w:ascii="Times New Roman" w:eastAsia="Times New Roman" w:hAnsi="Times New Roman" w:cs="Times New Roman"/>
                <w:sz w:val="24"/>
                <w:szCs w:val="24"/>
                <w:lang w:val="en-US" w:eastAsia="pl-PL"/>
              </w:rPr>
              <w:t>Izdebski</w:t>
            </w:r>
            <w:proofErr w:type="spellEnd"/>
            <w:r w:rsidR="001A77EC" w:rsidRPr="00846712">
              <w:rPr>
                <w:rFonts w:ascii="Times New Roman" w:eastAsia="Times New Roman" w:hAnsi="Times New Roman" w:cs="Times New Roman"/>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Samorząd</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terytorialny</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Podstawy</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ustroju</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i</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działalności</w:t>
            </w:r>
            <w:proofErr w:type="spellEnd"/>
            <w:r w:rsidR="001A77EC" w:rsidRPr="00846712">
              <w:rPr>
                <w:rFonts w:ascii="Times New Roman" w:eastAsia="Times New Roman" w:hAnsi="Times New Roman" w:cs="Times New Roman"/>
                <w:sz w:val="24"/>
                <w:szCs w:val="24"/>
                <w:lang w:val="en-US" w:eastAsia="pl-PL"/>
              </w:rPr>
              <w:t xml:space="preserve">, </w:t>
            </w:r>
            <w:r w:rsidRPr="00846712">
              <w:rPr>
                <w:rFonts w:ascii="Times New Roman" w:eastAsia="Times New Roman" w:hAnsi="Times New Roman" w:cs="Times New Roman"/>
                <w:sz w:val="24"/>
                <w:szCs w:val="24"/>
                <w:lang w:val="en-US" w:eastAsia="pl-PL"/>
              </w:rPr>
              <w:t>Warsaw 2004, p. 209; judgment of the Supreme Administrative Court of 30 September 2009,</w:t>
            </w:r>
            <w:r w:rsidR="001A77EC" w:rsidRPr="00846712">
              <w:rPr>
                <w:rFonts w:ascii="Times New Roman" w:eastAsia="Times New Roman" w:hAnsi="Times New Roman" w:cs="Times New Roman"/>
                <w:sz w:val="24"/>
                <w:szCs w:val="24"/>
                <w:lang w:val="en-US" w:eastAsia="pl-PL"/>
              </w:rPr>
              <w:t xml:space="preserve"> I OSK 2093/14).</w:t>
            </w:r>
          </w:p>
          <w:p w14:paraId="7A651CEB" w14:textId="55153DD3" w:rsidR="001A77EC" w:rsidRPr="00846712" w:rsidRDefault="005B0AF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Attention is correctly brought in the literature to the fact that the Act on Access to Public Information </w:t>
            </w:r>
            <w:r w:rsidR="00D4637D">
              <w:rPr>
                <w:rFonts w:ascii="Times New Roman" w:eastAsia="Times New Roman" w:hAnsi="Times New Roman" w:cs="Times New Roman"/>
                <w:sz w:val="24"/>
                <w:szCs w:val="24"/>
                <w:lang w:val="en-US" w:eastAsia="pl-PL"/>
              </w:rPr>
              <w:t>“</w:t>
            </w:r>
            <w:r w:rsidRPr="00846712">
              <w:rPr>
                <w:rFonts w:ascii="Times New Roman" w:eastAsia="Times New Roman" w:hAnsi="Times New Roman" w:cs="Times New Roman"/>
                <w:sz w:val="24"/>
                <w:szCs w:val="24"/>
                <w:lang w:val="en-US" w:eastAsia="pl-PL"/>
              </w:rPr>
              <w:t>gives the right to obtain information about general matters, however it does not en</w:t>
            </w:r>
            <w:r w:rsidR="00E21456" w:rsidRPr="00846712">
              <w:rPr>
                <w:rFonts w:ascii="Times New Roman" w:eastAsia="Times New Roman" w:hAnsi="Times New Roman" w:cs="Times New Roman"/>
                <w:sz w:val="24"/>
                <w:szCs w:val="24"/>
                <w:lang w:val="en-US" w:eastAsia="pl-PL"/>
              </w:rPr>
              <w:t>title to obtain every information held by the addressee of a relevant request</w:t>
            </w:r>
            <w:r w:rsidR="001A77EC" w:rsidRPr="00846712">
              <w:rPr>
                <w:rFonts w:ascii="Times New Roman" w:eastAsia="Times New Roman" w:hAnsi="Times New Roman" w:cs="Times New Roman"/>
                <w:sz w:val="24"/>
                <w:szCs w:val="24"/>
                <w:lang w:val="en-US" w:eastAsia="pl-PL"/>
              </w:rPr>
              <w:t xml:space="preserve">. (...) </w:t>
            </w:r>
            <w:r w:rsidR="00E21456" w:rsidRPr="00846712">
              <w:rPr>
                <w:rFonts w:ascii="Times New Roman" w:eastAsia="Times New Roman" w:hAnsi="Times New Roman" w:cs="Times New Roman"/>
                <w:sz w:val="24"/>
                <w:szCs w:val="24"/>
                <w:lang w:val="en-US" w:eastAsia="pl-PL"/>
              </w:rPr>
              <w:t>Not all activities of the entities indicated in Article</w:t>
            </w:r>
            <w:r w:rsidR="001A77EC" w:rsidRPr="00846712">
              <w:rPr>
                <w:rFonts w:ascii="Times New Roman" w:eastAsia="Times New Roman" w:hAnsi="Times New Roman" w:cs="Times New Roman"/>
                <w:sz w:val="24"/>
                <w:szCs w:val="24"/>
                <w:lang w:val="en-US" w:eastAsia="pl-PL"/>
              </w:rPr>
              <w:t xml:space="preserve"> 61 </w:t>
            </w:r>
            <w:r w:rsidR="00E21456" w:rsidRPr="00846712">
              <w:rPr>
                <w:rFonts w:ascii="Times New Roman" w:eastAsia="Times New Roman" w:hAnsi="Times New Roman" w:cs="Times New Roman"/>
                <w:sz w:val="24"/>
                <w:szCs w:val="24"/>
                <w:lang w:val="en-US" w:eastAsia="pl-PL"/>
              </w:rPr>
              <w:t xml:space="preserve">(1) of the Constitution of the Republic of Poland will involve creation of public information. If information concerns a private sphere, not related to the state activities, it is not subject to disclosure, even if it is kept in files of </w:t>
            </w:r>
            <w:r w:rsidR="00D4637D">
              <w:rPr>
                <w:rFonts w:ascii="Times New Roman" w:eastAsia="Times New Roman" w:hAnsi="Times New Roman" w:cs="Times New Roman"/>
                <w:sz w:val="24"/>
                <w:szCs w:val="24"/>
                <w:lang w:val="en-US" w:eastAsia="pl-PL"/>
              </w:rPr>
              <w:t>a</w:t>
            </w:r>
            <w:r w:rsidR="00E21456" w:rsidRPr="00846712">
              <w:rPr>
                <w:rFonts w:ascii="Times New Roman" w:eastAsia="Times New Roman" w:hAnsi="Times New Roman" w:cs="Times New Roman"/>
                <w:sz w:val="24"/>
                <w:szCs w:val="24"/>
                <w:lang w:val="en-US" w:eastAsia="pl-PL"/>
              </w:rPr>
              <w:t xml:space="preserve"> case handled by the authority. As a result of adopting such a viewpoint, it must be acknowledged that some documents used solely for the purposes of the obliged entity, despite being related to its activities, </w:t>
            </w:r>
            <w:r w:rsidR="00D4637D">
              <w:rPr>
                <w:rFonts w:ascii="Times New Roman" w:eastAsia="Times New Roman" w:hAnsi="Times New Roman" w:cs="Times New Roman"/>
                <w:sz w:val="24"/>
                <w:szCs w:val="24"/>
                <w:lang w:val="en-US" w:eastAsia="pl-PL"/>
              </w:rPr>
              <w:t>are</w:t>
            </w:r>
            <w:r w:rsidR="00E21456" w:rsidRPr="00846712">
              <w:rPr>
                <w:rFonts w:ascii="Times New Roman" w:eastAsia="Times New Roman" w:hAnsi="Times New Roman" w:cs="Times New Roman"/>
                <w:sz w:val="24"/>
                <w:szCs w:val="24"/>
                <w:lang w:val="en-US" w:eastAsia="pl-PL"/>
              </w:rPr>
              <w:t xml:space="preserve"> not public information and do not need to be disclosed)</w:t>
            </w:r>
            <w:r w:rsidR="001A77EC" w:rsidRPr="00846712">
              <w:rPr>
                <w:rFonts w:ascii="Times New Roman" w:eastAsia="Times New Roman" w:hAnsi="Times New Roman" w:cs="Times New Roman"/>
                <w:sz w:val="24"/>
                <w:szCs w:val="24"/>
                <w:lang w:val="en-US" w:eastAsia="pl-PL"/>
              </w:rPr>
              <w:t>" (</w:t>
            </w:r>
            <w:r w:rsidR="00E21456" w:rsidRPr="00846712">
              <w:rPr>
                <w:rFonts w:ascii="Times New Roman" w:eastAsia="Times New Roman" w:hAnsi="Times New Roman" w:cs="Times New Roman"/>
                <w:sz w:val="24"/>
                <w:szCs w:val="24"/>
                <w:lang w:val="en-US" w:eastAsia="pl-PL"/>
              </w:rPr>
              <w:t>cf.:</w:t>
            </w:r>
            <w:r w:rsidR="001A77EC" w:rsidRPr="00846712">
              <w:rPr>
                <w:rFonts w:ascii="Times New Roman" w:eastAsia="Times New Roman" w:hAnsi="Times New Roman" w:cs="Times New Roman"/>
                <w:sz w:val="24"/>
                <w:szCs w:val="24"/>
                <w:lang w:val="en-US" w:eastAsia="pl-PL"/>
              </w:rPr>
              <w:t xml:space="preserve"> I. Kamińska, M. </w:t>
            </w:r>
            <w:proofErr w:type="spellStart"/>
            <w:r w:rsidR="001A77EC" w:rsidRPr="00846712">
              <w:rPr>
                <w:rFonts w:ascii="Times New Roman" w:eastAsia="Times New Roman" w:hAnsi="Times New Roman" w:cs="Times New Roman"/>
                <w:sz w:val="24"/>
                <w:szCs w:val="24"/>
                <w:lang w:val="en-US" w:eastAsia="pl-PL"/>
              </w:rPr>
              <w:t>Rozbicka-Ostrowska</w:t>
            </w:r>
            <w:proofErr w:type="spellEnd"/>
            <w:r w:rsidR="001A77EC" w:rsidRPr="00846712">
              <w:rPr>
                <w:rFonts w:ascii="Times New Roman" w:eastAsia="Times New Roman" w:hAnsi="Times New Roman" w:cs="Times New Roman"/>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Ustawa</w:t>
            </w:r>
            <w:proofErr w:type="spellEnd"/>
            <w:r w:rsidR="001A77EC" w:rsidRPr="00846712">
              <w:rPr>
                <w:rFonts w:ascii="Times New Roman" w:eastAsia="Times New Roman" w:hAnsi="Times New Roman" w:cs="Times New Roman"/>
                <w:i/>
                <w:iCs/>
                <w:sz w:val="24"/>
                <w:szCs w:val="24"/>
                <w:lang w:val="en-US" w:eastAsia="pl-PL"/>
              </w:rPr>
              <w:t xml:space="preserve"> o </w:t>
            </w:r>
            <w:proofErr w:type="spellStart"/>
            <w:r w:rsidR="001A77EC" w:rsidRPr="00846712">
              <w:rPr>
                <w:rFonts w:ascii="Times New Roman" w:eastAsia="Times New Roman" w:hAnsi="Times New Roman" w:cs="Times New Roman"/>
                <w:i/>
                <w:iCs/>
                <w:sz w:val="24"/>
                <w:szCs w:val="24"/>
                <w:lang w:val="en-US" w:eastAsia="pl-PL"/>
              </w:rPr>
              <w:t>dostępie</w:t>
            </w:r>
            <w:proofErr w:type="spellEnd"/>
            <w:r w:rsidR="001A77EC" w:rsidRPr="00846712">
              <w:rPr>
                <w:rFonts w:ascii="Times New Roman" w:eastAsia="Times New Roman" w:hAnsi="Times New Roman" w:cs="Times New Roman"/>
                <w:i/>
                <w:iCs/>
                <w:sz w:val="24"/>
                <w:szCs w:val="24"/>
                <w:lang w:val="en-US" w:eastAsia="pl-PL"/>
              </w:rPr>
              <w:t xml:space="preserve"> do </w:t>
            </w:r>
            <w:proofErr w:type="spellStart"/>
            <w:r w:rsidR="001A77EC" w:rsidRPr="00846712">
              <w:rPr>
                <w:rFonts w:ascii="Times New Roman" w:eastAsia="Times New Roman" w:hAnsi="Times New Roman" w:cs="Times New Roman"/>
                <w:i/>
                <w:iCs/>
                <w:sz w:val="24"/>
                <w:szCs w:val="24"/>
                <w:lang w:val="en-US" w:eastAsia="pl-PL"/>
              </w:rPr>
              <w:t>informacji</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publicznej</w:t>
            </w:r>
            <w:proofErr w:type="spellEnd"/>
            <w:r w:rsidR="001A77EC" w:rsidRPr="00846712">
              <w:rPr>
                <w:rFonts w:ascii="Times New Roman" w:eastAsia="Times New Roman" w:hAnsi="Times New Roman" w:cs="Times New Roman"/>
                <w:i/>
                <w:iCs/>
                <w:sz w:val="24"/>
                <w:szCs w:val="24"/>
                <w:lang w:val="en-US" w:eastAsia="pl-PL"/>
              </w:rPr>
              <w:t xml:space="preserve">. </w:t>
            </w:r>
            <w:proofErr w:type="spellStart"/>
            <w:r w:rsidR="001A77EC" w:rsidRPr="00846712">
              <w:rPr>
                <w:rFonts w:ascii="Times New Roman" w:eastAsia="Times New Roman" w:hAnsi="Times New Roman" w:cs="Times New Roman"/>
                <w:i/>
                <w:iCs/>
                <w:sz w:val="24"/>
                <w:szCs w:val="24"/>
                <w:lang w:val="en-US" w:eastAsia="pl-PL"/>
              </w:rPr>
              <w:t>Komentarz</w:t>
            </w:r>
            <w:proofErr w:type="spellEnd"/>
            <w:r w:rsidR="001A77EC" w:rsidRPr="00846712">
              <w:rPr>
                <w:rFonts w:ascii="Times New Roman" w:eastAsia="Times New Roman" w:hAnsi="Times New Roman" w:cs="Times New Roman"/>
                <w:sz w:val="24"/>
                <w:szCs w:val="24"/>
                <w:lang w:val="en-US" w:eastAsia="pl-PL"/>
              </w:rPr>
              <w:t xml:space="preserve">, </w:t>
            </w:r>
            <w:r w:rsidR="00E21456" w:rsidRPr="00846712">
              <w:rPr>
                <w:rFonts w:ascii="Times New Roman" w:eastAsia="Times New Roman" w:hAnsi="Times New Roman" w:cs="Times New Roman"/>
                <w:sz w:val="24"/>
                <w:szCs w:val="24"/>
                <w:lang w:val="en-US" w:eastAsia="pl-PL"/>
              </w:rPr>
              <w:t>Warsaw</w:t>
            </w:r>
            <w:r w:rsidR="001A77EC" w:rsidRPr="00846712">
              <w:rPr>
                <w:rFonts w:ascii="Times New Roman" w:eastAsia="Times New Roman" w:hAnsi="Times New Roman" w:cs="Times New Roman"/>
                <w:sz w:val="24"/>
                <w:szCs w:val="24"/>
                <w:lang w:val="en-US" w:eastAsia="pl-PL"/>
              </w:rPr>
              <w:t xml:space="preserve"> 2016, </w:t>
            </w:r>
            <w:r w:rsidR="00E21456" w:rsidRPr="00846712">
              <w:rPr>
                <w:rFonts w:ascii="Times New Roman" w:eastAsia="Times New Roman" w:hAnsi="Times New Roman" w:cs="Times New Roman"/>
                <w:sz w:val="24"/>
                <w:szCs w:val="24"/>
                <w:lang w:val="en-US" w:eastAsia="pl-PL"/>
              </w:rPr>
              <w:t>commentary to Article</w:t>
            </w:r>
            <w:r w:rsidR="001A77EC" w:rsidRPr="00846712">
              <w:rPr>
                <w:rFonts w:ascii="Times New Roman" w:eastAsia="Times New Roman" w:hAnsi="Times New Roman" w:cs="Times New Roman"/>
                <w:sz w:val="24"/>
                <w:szCs w:val="24"/>
                <w:lang w:val="en-US" w:eastAsia="pl-PL"/>
              </w:rPr>
              <w:t xml:space="preserve"> 1, t</w:t>
            </w:r>
            <w:r w:rsidR="00E21456" w:rsidRPr="00846712">
              <w:rPr>
                <w:rFonts w:ascii="Times New Roman" w:eastAsia="Times New Roman" w:hAnsi="Times New Roman" w:cs="Times New Roman"/>
                <w:sz w:val="24"/>
                <w:szCs w:val="24"/>
                <w:lang w:val="en-US" w:eastAsia="pl-PL"/>
              </w:rPr>
              <w:t>hesis</w:t>
            </w:r>
            <w:r w:rsidR="001A77EC" w:rsidRPr="00846712">
              <w:rPr>
                <w:rFonts w:ascii="Times New Roman" w:eastAsia="Times New Roman" w:hAnsi="Times New Roman" w:cs="Times New Roman"/>
                <w:sz w:val="24"/>
                <w:szCs w:val="24"/>
                <w:lang w:val="en-US" w:eastAsia="pl-PL"/>
              </w:rPr>
              <w:t xml:space="preserve"> 2, </w:t>
            </w:r>
            <w:r w:rsidR="00E21456" w:rsidRPr="00846712">
              <w:rPr>
                <w:rFonts w:ascii="Times New Roman" w:eastAsia="Times New Roman" w:hAnsi="Times New Roman" w:cs="Times New Roman"/>
                <w:sz w:val="24"/>
                <w:szCs w:val="24"/>
                <w:lang w:val="en-US" w:eastAsia="pl-PL"/>
              </w:rPr>
              <w:t xml:space="preserve">thesis </w:t>
            </w:r>
            <w:r w:rsidR="001A77EC" w:rsidRPr="00846712">
              <w:rPr>
                <w:rFonts w:ascii="Times New Roman" w:eastAsia="Times New Roman" w:hAnsi="Times New Roman" w:cs="Times New Roman"/>
                <w:sz w:val="24"/>
                <w:szCs w:val="24"/>
                <w:lang w:val="en-US" w:eastAsia="pl-PL"/>
              </w:rPr>
              <w:t>4).</w:t>
            </w:r>
          </w:p>
          <w:p w14:paraId="1413630D" w14:textId="412F9501" w:rsidR="001A77EC" w:rsidRPr="00846712" w:rsidRDefault="00E21456"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Also the jurisprudence of the </w:t>
            </w:r>
            <w:r w:rsidR="006248B1" w:rsidRPr="00846712">
              <w:rPr>
                <w:rFonts w:ascii="Times New Roman" w:eastAsia="Times New Roman" w:hAnsi="Times New Roman" w:cs="Times New Roman"/>
                <w:sz w:val="24"/>
                <w:szCs w:val="24"/>
                <w:lang w:val="en-US" w:eastAsia="pl-PL"/>
              </w:rPr>
              <w:t xml:space="preserve">Supreme Administrative Court repeatedly points out to the fact that </w:t>
            </w:r>
            <w:r w:rsidR="00D4637D">
              <w:rPr>
                <w:rFonts w:ascii="Times New Roman" w:eastAsia="Times New Roman" w:hAnsi="Times New Roman" w:cs="Times New Roman"/>
                <w:sz w:val="24"/>
                <w:szCs w:val="24"/>
                <w:lang w:val="en-US" w:eastAsia="pl-PL"/>
              </w:rPr>
              <w:t>in general</w:t>
            </w:r>
            <w:r w:rsidR="006248B1" w:rsidRPr="00846712">
              <w:rPr>
                <w:rFonts w:ascii="Times New Roman" w:eastAsia="Times New Roman" w:hAnsi="Times New Roman" w:cs="Times New Roman"/>
                <w:sz w:val="24"/>
                <w:szCs w:val="24"/>
                <w:lang w:val="en-US" w:eastAsia="pl-PL"/>
              </w:rPr>
              <w:t xml:space="preserve">, documents of internal nature or activities of technical nature represent such type of the entity’s activities that does not carry public information. Therefore, </w:t>
            </w:r>
            <w:r w:rsidR="006248B1" w:rsidRPr="00846712">
              <w:rPr>
                <w:rFonts w:ascii="Times New Roman" w:eastAsia="Times New Roman" w:hAnsi="Times New Roman" w:cs="Times New Roman"/>
                <w:i/>
                <w:iCs/>
                <w:sz w:val="24"/>
                <w:szCs w:val="24"/>
                <w:lang w:val="en-US" w:eastAsia="pl-PL"/>
              </w:rPr>
              <w:t xml:space="preserve">inter alia, </w:t>
            </w:r>
            <w:r w:rsidR="006248B1" w:rsidRPr="00846712">
              <w:rPr>
                <w:rFonts w:ascii="Times New Roman" w:eastAsia="Times New Roman" w:hAnsi="Times New Roman" w:cs="Times New Roman"/>
                <w:sz w:val="24"/>
                <w:szCs w:val="24"/>
                <w:lang w:val="en-US" w:eastAsia="pl-PL"/>
              </w:rPr>
              <w:t>the following would not be treated as public information</w:t>
            </w:r>
            <w:r w:rsidR="001A77EC" w:rsidRPr="00846712">
              <w:rPr>
                <w:rFonts w:ascii="Times New Roman" w:eastAsia="Times New Roman" w:hAnsi="Times New Roman" w:cs="Times New Roman"/>
                <w:sz w:val="24"/>
                <w:szCs w:val="24"/>
                <w:lang w:val="en-US" w:eastAsia="pl-PL"/>
              </w:rPr>
              <w:t>:</w:t>
            </w:r>
          </w:p>
          <w:p w14:paraId="46CBB0FB" w14:textId="3EA3B8B3"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6248B1" w:rsidRPr="00846712">
              <w:rPr>
                <w:rFonts w:ascii="Times New Roman" w:eastAsia="Times New Roman" w:hAnsi="Times New Roman" w:cs="Times New Roman"/>
                <w:sz w:val="24"/>
                <w:szCs w:val="24"/>
                <w:lang w:val="en-US" w:eastAsia="pl-PL"/>
              </w:rPr>
              <w:t xml:space="preserve">internal electronic correspondence used to exchange information (judgment of the Supreme Administrative Court of 25 March 2014, </w:t>
            </w:r>
            <w:r w:rsidRPr="00846712">
              <w:rPr>
                <w:rFonts w:ascii="Times New Roman" w:eastAsia="Times New Roman" w:hAnsi="Times New Roman" w:cs="Times New Roman"/>
                <w:sz w:val="24"/>
                <w:szCs w:val="24"/>
                <w:lang w:val="en-US" w:eastAsia="pl-PL"/>
              </w:rPr>
              <w:t>I OSK 2320/130;</w:t>
            </w:r>
          </w:p>
          <w:p w14:paraId="0F515D0F" w14:textId="6B59448F"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B5074F" w:rsidRPr="00846712">
              <w:rPr>
                <w:rFonts w:ascii="Times New Roman" w:eastAsia="Times New Roman" w:hAnsi="Times New Roman" w:cs="Times New Roman"/>
                <w:sz w:val="24"/>
                <w:szCs w:val="24"/>
                <w:lang w:val="en-US" w:eastAsia="pl-PL"/>
              </w:rPr>
              <w:t>correspondence, including e-mail correspondence of a person performing public tasks, with his or her associates (SAC judgment of 14 September 2012, I OSK 1203/12; SAC judgment of 25 March 2014, I OSK 2320/13; BSA judgment of 31 July 2014, I OSK 2770/13; SAC judgment of 18 September 2014, I OSK 3073/13</w:t>
            </w:r>
            <w:r w:rsidRPr="00846712">
              <w:rPr>
                <w:rFonts w:ascii="Times New Roman" w:eastAsia="Times New Roman" w:hAnsi="Times New Roman" w:cs="Times New Roman"/>
                <w:sz w:val="24"/>
                <w:szCs w:val="24"/>
                <w:lang w:val="en-US" w:eastAsia="pl-PL"/>
              </w:rPr>
              <w:t>);</w:t>
            </w:r>
          </w:p>
          <w:p w14:paraId="3F6BD40D" w14:textId="3CEF1FCE"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B5074F" w:rsidRPr="00846712">
              <w:rPr>
                <w:rFonts w:ascii="Times New Roman" w:eastAsia="Times New Roman" w:hAnsi="Times New Roman" w:cs="Times New Roman"/>
                <w:sz w:val="24"/>
                <w:szCs w:val="24"/>
                <w:lang w:val="en-US" w:eastAsia="pl-PL"/>
              </w:rPr>
              <w:t>internal official correspondence of a working nature, relating only to organizational and order matters, not included in the case files (SAC judgment of 15 July 2010, I OSK 707/10</w:t>
            </w:r>
            <w:r w:rsidRPr="00846712">
              <w:rPr>
                <w:rFonts w:ascii="Times New Roman" w:eastAsia="Times New Roman" w:hAnsi="Times New Roman" w:cs="Times New Roman"/>
                <w:sz w:val="24"/>
                <w:szCs w:val="24"/>
                <w:lang w:val="en-US" w:eastAsia="pl-PL"/>
              </w:rPr>
              <w:t>);</w:t>
            </w:r>
          </w:p>
          <w:p w14:paraId="26B2DB21" w14:textId="472AB2A7"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F93B17" w:rsidRPr="00846712">
              <w:rPr>
                <w:rFonts w:ascii="Times New Roman" w:eastAsia="Times New Roman" w:hAnsi="Times New Roman" w:cs="Times New Roman"/>
                <w:sz w:val="24"/>
                <w:szCs w:val="24"/>
                <w:lang w:val="en-US" w:eastAsia="pl-PL"/>
              </w:rPr>
              <w:t>expert opinions, as long as they do not relate to a specific act already covered by an ongoing legislative process. Such opinions are treated as internal documents used to gather information that may be used in the decision-making process in the future. (SAC judgment of 29 February 2012</w:t>
            </w:r>
            <w:r w:rsidRPr="00846712">
              <w:rPr>
                <w:rFonts w:ascii="Times New Roman" w:eastAsia="Times New Roman" w:hAnsi="Times New Roman" w:cs="Times New Roman"/>
                <w:sz w:val="24"/>
                <w:szCs w:val="24"/>
                <w:lang w:val="en-US" w:eastAsia="pl-PL"/>
              </w:rPr>
              <w:t>, I OSK 2196/11);</w:t>
            </w:r>
          </w:p>
          <w:p w14:paraId="368D43C0" w14:textId="2AEACA85" w:rsidR="001A77EC" w:rsidRPr="00846712" w:rsidRDefault="001A77EC"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 xml:space="preserve">- </w:t>
            </w:r>
            <w:r w:rsidR="00F93B17" w:rsidRPr="00846712">
              <w:rPr>
                <w:rFonts w:ascii="Times New Roman" w:eastAsia="Times New Roman" w:hAnsi="Times New Roman" w:cs="Times New Roman"/>
                <w:sz w:val="24"/>
                <w:szCs w:val="24"/>
                <w:lang w:val="en-US" w:eastAsia="pl-PL"/>
              </w:rPr>
              <w:t xml:space="preserve">a meeting schedule, calendar or other documents related to the planning of entity's activities do not constitute an official document and should be treated as internal documents. (cf. SAC judgment of 13 June 2014, </w:t>
            </w:r>
            <w:r w:rsidRPr="00846712">
              <w:rPr>
                <w:rFonts w:ascii="Times New Roman" w:eastAsia="Times New Roman" w:hAnsi="Times New Roman" w:cs="Times New Roman"/>
                <w:sz w:val="24"/>
                <w:szCs w:val="24"/>
                <w:lang w:val="en-US" w:eastAsia="pl-PL"/>
              </w:rPr>
              <w:t>I OSK 2914/13).</w:t>
            </w:r>
          </w:p>
          <w:p w14:paraId="646CF085" w14:textId="5E5FAA82" w:rsidR="001A77EC" w:rsidRPr="00846712" w:rsidRDefault="00BA4A44"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lastRenderedPageBreak/>
              <w:t>Before taking decisions and actions, public authorities collect necessary information, agree on their positions, and produce working documents in the course of such activities. Therefore, “internal documents” which, although used to carry out a specific public task, do not determine directions of the authority’s activities, are distinguished from “official documents” within the meaning of Article 6 (2) of the API Act. Internal documents are used to exchange information, collect necessary materials, agree on viewpoints and positions. They can take any form, they are not binding as to the method of handling a specific case, and therefore are not an expression of the authority's position, so they cannot be regarded as public information (cf. SAC judgment of 27 January 2012, file ref. No. I OSK 2130/11, unpublished, of 15 July 2010, file ref. No. I OSK 707/10, unpublished</w:t>
            </w:r>
            <w:r w:rsidR="001A77EC" w:rsidRPr="00846712">
              <w:rPr>
                <w:rFonts w:ascii="Times New Roman" w:eastAsia="Times New Roman" w:hAnsi="Times New Roman" w:cs="Times New Roman"/>
                <w:sz w:val="24"/>
                <w:szCs w:val="24"/>
                <w:lang w:val="en-US" w:eastAsia="pl-PL"/>
              </w:rPr>
              <w:t>).</w:t>
            </w:r>
          </w:p>
          <w:p w14:paraId="4253FB01" w14:textId="01D35323" w:rsidR="001A77EC" w:rsidRPr="00846712" w:rsidRDefault="00930C71"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It was therefore rightly pointed out by the Court of first instance that a national report will undoubtedly constitute public information, while the process of developing a national report on the basis of materials provided by state authorities and institutions is not subject to disclosure (it does not constitute public information), unless these materials would be separately – apart from the national report – presented by the Republic of Poland as part of the review of compliance with human rights</w:t>
            </w:r>
            <w:r w:rsidR="001A77EC" w:rsidRPr="00846712">
              <w:rPr>
                <w:rFonts w:ascii="Times New Roman" w:eastAsia="Times New Roman" w:hAnsi="Times New Roman" w:cs="Times New Roman"/>
                <w:sz w:val="24"/>
                <w:szCs w:val="24"/>
                <w:lang w:val="en-US" w:eastAsia="pl-PL"/>
              </w:rPr>
              <w:t>.</w:t>
            </w:r>
          </w:p>
          <w:p w14:paraId="2AD1234A" w14:textId="6AC94432" w:rsidR="001A77EC" w:rsidRPr="00846712" w:rsidRDefault="00930C71" w:rsidP="00AD5449">
            <w:p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846712">
              <w:rPr>
                <w:rFonts w:ascii="Times New Roman" w:eastAsia="Times New Roman" w:hAnsi="Times New Roman" w:cs="Times New Roman"/>
                <w:sz w:val="24"/>
                <w:szCs w:val="24"/>
                <w:lang w:val="en-US" w:eastAsia="pl-PL"/>
              </w:rPr>
              <w:t>In these circumstances, the Supreme Administrative Court, pursuant to Article 184 LPAC dismissed the cassation appeal as having no justified grounds. The costs of the cassation proceedings were ordered pursuant to Article 204 (2) LPAC</w:t>
            </w:r>
            <w:r w:rsidR="001A77EC" w:rsidRPr="00846712">
              <w:rPr>
                <w:rFonts w:ascii="Times New Roman" w:eastAsia="Times New Roman" w:hAnsi="Times New Roman" w:cs="Times New Roman"/>
                <w:sz w:val="24"/>
                <w:szCs w:val="24"/>
                <w:lang w:val="en-US" w:eastAsia="pl-PL"/>
              </w:rPr>
              <w:t xml:space="preserve">. </w:t>
            </w:r>
          </w:p>
        </w:tc>
      </w:tr>
    </w:tbl>
    <w:p w14:paraId="21FC3C17" w14:textId="77777777" w:rsidR="00527394" w:rsidRPr="00846712" w:rsidRDefault="00C5680B">
      <w:pPr>
        <w:rPr>
          <w:lang w:val="en-US"/>
        </w:rPr>
      </w:pPr>
    </w:p>
    <w:sectPr w:rsidR="00527394" w:rsidRPr="00846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EC"/>
    <w:rsid w:val="00015C83"/>
    <w:rsid w:val="00022022"/>
    <w:rsid w:val="000D5A16"/>
    <w:rsid w:val="000E7A56"/>
    <w:rsid w:val="001454C6"/>
    <w:rsid w:val="00186001"/>
    <w:rsid w:val="001A77EC"/>
    <w:rsid w:val="001D1648"/>
    <w:rsid w:val="003C17A2"/>
    <w:rsid w:val="003D7039"/>
    <w:rsid w:val="003F208F"/>
    <w:rsid w:val="004471D7"/>
    <w:rsid w:val="00456107"/>
    <w:rsid w:val="0049098D"/>
    <w:rsid w:val="004929FD"/>
    <w:rsid w:val="005204E4"/>
    <w:rsid w:val="00540591"/>
    <w:rsid w:val="005B0AFC"/>
    <w:rsid w:val="006141B6"/>
    <w:rsid w:val="006248B1"/>
    <w:rsid w:val="00671EC8"/>
    <w:rsid w:val="00672E6D"/>
    <w:rsid w:val="007011D0"/>
    <w:rsid w:val="00846712"/>
    <w:rsid w:val="008D4ABD"/>
    <w:rsid w:val="00901C2A"/>
    <w:rsid w:val="00930C71"/>
    <w:rsid w:val="00A11A22"/>
    <w:rsid w:val="00A845CB"/>
    <w:rsid w:val="00AA5025"/>
    <w:rsid w:val="00AD5449"/>
    <w:rsid w:val="00AF75FD"/>
    <w:rsid w:val="00B5074F"/>
    <w:rsid w:val="00BA4A44"/>
    <w:rsid w:val="00C5680B"/>
    <w:rsid w:val="00C60070"/>
    <w:rsid w:val="00CA4CA9"/>
    <w:rsid w:val="00CD4287"/>
    <w:rsid w:val="00CE2C82"/>
    <w:rsid w:val="00D4637D"/>
    <w:rsid w:val="00E148DE"/>
    <w:rsid w:val="00E21456"/>
    <w:rsid w:val="00E215D2"/>
    <w:rsid w:val="00F15C0F"/>
    <w:rsid w:val="00F93B17"/>
    <w:rsid w:val="00FA499A"/>
    <w:rsid w:val="00FA7B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007C"/>
  <w15:chartTrackingRefBased/>
  <w15:docId w15:val="{DBD4FF77-8C26-46E1-94A4-53D33F8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A77E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1A7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98712">
      <w:bodyDiv w:val="1"/>
      <w:marLeft w:val="0"/>
      <w:marRight w:val="0"/>
      <w:marTop w:val="0"/>
      <w:marBottom w:val="0"/>
      <w:divBdr>
        <w:top w:val="none" w:sz="0" w:space="0" w:color="auto"/>
        <w:left w:val="none" w:sz="0" w:space="0" w:color="auto"/>
        <w:bottom w:val="none" w:sz="0" w:space="0" w:color="auto"/>
        <w:right w:val="none" w:sz="0" w:space="0" w:color="auto"/>
      </w:divBdr>
      <w:divsChild>
        <w:div w:id="1216552923">
          <w:marLeft w:val="0"/>
          <w:marRight w:val="0"/>
          <w:marTop w:val="0"/>
          <w:marBottom w:val="0"/>
          <w:divBdr>
            <w:top w:val="none" w:sz="0" w:space="0" w:color="auto"/>
            <w:left w:val="none" w:sz="0" w:space="0" w:color="auto"/>
            <w:bottom w:val="none" w:sz="0" w:space="0" w:color="auto"/>
            <w:right w:val="none" w:sz="0" w:space="0" w:color="auto"/>
          </w:divBdr>
        </w:div>
        <w:div w:id="795172734">
          <w:marLeft w:val="0"/>
          <w:marRight w:val="0"/>
          <w:marTop w:val="0"/>
          <w:marBottom w:val="0"/>
          <w:divBdr>
            <w:top w:val="none" w:sz="0" w:space="0" w:color="auto"/>
            <w:left w:val="none" w:sz="0" w:space="0" w:color="auto"/>
            <w:bottom w:val="none" w:sz="0" w:space="0" w:color="auto"/>
            <w:right w:val="none" w:sz="0" w:space="0" w:color="auto"/>
          </w:divBdr>
        </w:div>
      </w:divsChild>
    </w:div>
    <w:div w:id="1747847954">
      <w:bodyDiv w:val="1"/>
      <w:marLeft w:val="0"/>
      <w:marRight w:val="0"/>
      <w:marTop w:val="0"/>
      <w:marBottom w:val="0"/>
      <w:divBdr>
        <w:top w:val="none" w:sz="0" w:space="0" w:color="auto"/>
        <w:left w:val="none" w:sz="0" w:space="0" w:color="auto"/>
        <w:bottom w:val="none" w:sz="0" w:space="0" w:color="auto"/>
        <w:right w:val="none" w:sz="0" w:space="0" w:color="auto"/>
      </w:divBdr>
      <w:divsChild>
        <w:div w:id="48077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3159</Words>
  <Characters>18960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Siec Obywatelska - Watchdog Polska</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Pokorna</dc:creator>
  <cp:keywords/>
  <dc:description/>
  <cp:lastModifiedBy>Katarzyna Batko-Tołuć</cp:lastModifiedBy>
  <cp:revision>2</cp:revision>
  <dcterms:created xsi:type="dcterms:W3CDTF">2022-03-31T12:18:00Z</dcterms:created>
  <dcterms:modified xsi:type="dcterms:W3CDTF">2022-03-31T12:18:00Z</dcterms:modified>
</cp:coreProperties>
</file>